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color w:val="0f243e"/>
          <w:sz w:val="36"/>
          <w:szCs w:val="36"/>
        </w:rPr>
      </w:pPr>
      <w:r w:rsidDel="00000000" w:rsidR="00000000" w:rsidRPr="00000000">
        <w:rPr>
          <w:rFonts w:ascii="Calibri" w:cs="Calibri" w:eastAsia="Calibri" w:hAnsi="Calibri"/>
          <w:b w:val="1"/>
          <w:bCs w:val="1"/>
          <w:color w:val="0f243e"/>
          <w:sz w:val="36"/>
          <w:szCs w:val="36"/>
          <w:rtl w:val="0"/>
        </w:rPr>
        <w:t xml:space="preserve">ORLANDO </w:t>
      </w:r>
    </w:p>
    <w:p w:rsidR="00000000" w:rsidDel="00000000" w:rsidP="00000000" w:rsidRDefault="00000000" w:rsidRPr="00000000" w14:paraId="00000002">
      <w:pPr>
        <w:jc w:val="center"/>
        <w:rPr>
          <w:rFonts w:ascii="Calibri" w:cs="Calibri" w:eastAsia="Calibri" w:hAnsi="Calibri"/>
          <w:b w:val="1"/>
          <w:bCs w:val="1"/>
          <w:color w:val="0f243e"/>
          <w:sz w:val="36"/>
          <w:szCs w:val="36"/>
        </w:rPr>
      </w:pPr>
      <w:r w:rsidDel="00000000" w:rsidR="00000000" w:rsidRPr="00000000">
        <w:rPr>
          <w:rFonts w:ascii="Calibri" w:cs="Calibri" w:eastAsia="Calibri" w:hAnsi="Calibri"/>
          <w:b w:val="1"/>
          <w:bCs w:val="1"/>
          <w:color w:val="0f243e"/>
          <w:sz w:val="36"/>
          <w:szCs w:val="36"/>
          <w:rtl w:val="0"/>
        </w:rPr>
        <w:t xml:space="preserve">DESDE CHICLAYO</w:t>
      </w:r>
    </w:p>
    <w:p w:rsidR="00000000" w:rsidDel="00000000" w:rsidP="00000000" w:rsidRDefault="00000000" w:rsidRPr="00000000" w14:paraId="00000003">
      <w:pPr>
        <w:jc w:val="center"/>
        <w:rPr>
          <w:rFonts w:ascii="Calibri" w:cs="Calibri" w:eastAsia="Calibri" w:hAnsi="Calibri"/>
          <w:b w:val="1"/>
          <w:bCs w:val="1"/>
          <w:color w:val="0f243e"/>
          <w:sz w:val="26"/>
          <w:szCs w:val="26"/>
        </w:rPr>
      </w:pPr>
      <w:r w:rsidDel="00000000" w:rsidR="00000000" w:rsidRPr="00000000">
        <w:rPr>
          <w:rFonts w:ascii="Calibri" w:cs="Calibri" w:eastAsia="Calibri" w:hAnsi="Calibri"/>
          <w:b w:val="1"/>
          <w:bCs w:val="1"/>
          <w:color w:val="0f243e"/>
          <w:sz w:val="26"/>
          <w:szCs w:val="26"/>
          <w:rtl w:val="0"/>
        </w:rPr>
        <w:t xml:space="preserve">5 DÍAS / 4 NOCHES</w:t>
      </w:r>
    </w:p>
    <w:p w:rsidR="00000000" w:rsidDel="00000000" w:rsidP="00000000" w:rsidRDefault="00000000" w:rsidRPr="00000000" w14:paraId="00000004">
      <w:pPr>
        <w:jc w:val="center"/>
        <w:rPr>
          <w:rFonts w:ascii="Calibri" w:cs="Calibri" w:eastAsia="Calibri" w:hAnsi="Calibri"/>
          <w:b w:val="1"/>
          <w:bCs w:val="1"/>
          <w:color w:val="0f243e"/>
          <w:sz w:val="18"/>
          <w:szCs w:val="18"/>
        </w:rPr>
      </w:pPr>
      <w:r w:rsidDel="00000000" w:rsidR="00000000" w:rsidRPr="00000000">
        <w:rPr>
          <w:rFonts w:ascii="Calibri" w:cs="Calibri" w:eastAsia="Calibri" w:hAnsi="Calibri"/>
          <w:b w:val="1"/>
          <w:bCs w:val="1"/>
          <w:color w:val="0f243e"/>
          <w:sz w:val="18"/>
          <w:szCs w:val="18"/>
          <w:rtl w:val="0"/>
        </w:rPr>
        <w:t xml:space="preserve">RESERVAR HASTA AGOTAR STOCK</w:t>
      </w:r>
    </w:p>
    <w:p w:rsidR="00000000" w:rsidDel="00000000" w:rsidP="00000000" w:rsidRDefault="00000000" w:rsidRPr="00000000" w14:paraId="00000005">
      <w:pPr>
        <w:jc w:val="center"/>
        <w:rPr>
          <w:rFonts w:ascii="Calibri" w:cs="Calibri" w:eastAsia="Calibri" w:hAnsi="Calibri"/>
          <w:b w:val="1"/>
          <w:bCs w:val="1"/>
          <w:color w:val="0f243e"/>
          <w:sz w:val="18"/>
          <w:szCs w:val="18"/>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bCs w:val="1"/>
          <w:color w:val="0f243e"/>
          <w:sz w:val="18"/>
          <w:szCs w:val="1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Boleto </w:t>
      </w:r>
      <w:r w:rsidDel="00000000" w:rsidR="00000000" w:rsidRPr="00000000">
        <w:rPr>
          <w:rFonts w:ascii="Calibri" w:cs="Calibri" w:eastAsia="Calibri" w:hAnsi="Calibri"/>
          <w:sz w:val="20"/>
          <w:szCs w:val="20"/>
          <w:rtl w:val="0"/>
        </w:rPr>
        <w:t xml:space="preserve">Chiclayo</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Orlando / Lima </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Traslados Apto / hotel / Apto</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4 noches de alojamiento</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Impuestos necesarios para la emisión del boleto.</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Tarjeta de Asistencia</w:t>
      </w:r>
    </w:p>
    <w:p w:rsidR="00000000" w:rsidDel="00000000" w:rsidP="00000000" w:rsidRDefault="00000000" w:rsidRPr="00000000" w14:paraId="0000000C">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COPA</w:t>
      </w:r>
    </w:p>
    <w:tbl>
      <w:tblPr>
        <w:tblStyle w:val="Table1"/>
        <w:tblW w:w="7830.0" w:type="dxa"/>
        <w:jc w:val="center"/>
        <w:tblBorders>
          <w:top w:color="006600" w:space="0" w:sz="4" w:val="single"/>
          <w:left w:color="006600" w:space="0" w:sz="4" w:val="single"/>
          <w:bottom w:color="006600" w:space="0" w:sz="4" w:val="single"/>
          <w:right w:color="006600" w:space="0" w:sz="4" w:val="single"/>
          <w:insideH w:color="006600" w:space="0" w:sz="4" w:val="single"/>
          <w:insideV w:color="006600" w:space="0" w:sz="4" w:val="single"/>
        </w:tblBorders>
        <w:tblLayout w:type="fixed"/>
        <w:tblLook w:val="0400"/>
      </w:tblPr>
      <w:tblGrid>
        <w:gridCol w:w="2460"/>
        <w:gridCol w:w="690"/>
        <w:gridCol w:w="690"/>
        <w:gridCol w:w="690"/>
        <w:gridCol w:w="1320"/>
        <w:gridCol w:w="1980"/>
        <w:tblGridChange w:id="0">
          <w:tblGrid>
            <w:gridCol w:w="2460"/>
            <w:gridCol w:w="690"/>
            <w:gridCol w:w="690"/>
            <w:gridCol w:w="690"/>
            <w:gridCol w:w="1320"/>
            <w:gridCol w:w="1980"/>
          </w:tblGrid>
        </w:tblGridChange>
      </w:tblGrid>
      <w:tr>
        <w:trPr>
          <w:cantSplit w:val="0"/>
          <w:trHeight w:val="229.14062499999997" w:hRule="atLeast"/>
          <w:tblHeader w:val="0"/>
        </w:trPr>
        <w:tc>
          <w:tcPr>
            <w:tcBorders>
              <w:top w:color="006600" w:space="0" w:sz="4" w:val="single"/>
              <w:left w:color="006600" w:space="0" w:sz="4" w:val="single"/>
              <w:bottom w:color="006600" w:space="0" w:sz="4" w:val="single"/>
              <w:right w:color="006600" w:space="0" w:sz="4" w:val="single"/>
            </w:tcBorders>
            <w:shd w:fill="006600" w:val="clea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ffff"/>
                <w:sz w:val="20"/>
                <w:szCs w:val="20"/>
                <w:u w:val="none"/>
                <w:shd w:fill="auto" w:val="clear"/>
                <w:vertAlign w:val="baseline"/>
              </w:rPr>
            </w:pPr>
            <w:bookmarkStart w:colFirst="0" w:colLast="0" w:name="_8pqsptmtwj5g" w:id="0"/>
            <w:bookmarkEnd w:id="0"/>
            <w:r w:rsidDel="00000000" w:rsidR="00000000" w:rsidRPr="00000000">
              <w:rPr>
                <w:rFonts w:ascii="Calibri" w:cs="Calibri" w:eastAsia="Calibri" w:hAnsi="Calibri"/>
                <w:b w:val="1"/>
                <w:bCs w:val="1"/>
                <w:i w:val="0"/>
                <w:iCs w:val="0"/>
                <w:smallCaps w:val="0"/>
                <w:strike w:val="0"/>
                <w:color w:val="ffffff"/>
                <w:sz w:val="20"/>
                <w:szCs w:val="20"/>
                <w:u w:val="none"/>
                <w:shd w:fill="auto" w:val="clear"/>
                <w:vertAlign w:val="baseline"/>
                <w:rtl w:val="0"/>
              </w:rPr>
              <w:t xml:space="preserve">HOTEL</w:t>
            </w:r>
          </w:p>
        </w:tc>
        <w:tc>
          <w:tcPr>
            <w:tcBorders>
              <w:top w:color="006600" w:space="0" w:sz="4" w:val="single"/>
              <w:left w:color="006600" w:space="0" w:sz="4" w:val="single"/>
              <w:bottom w:color="006600" w:space="0" w:sz="4" w:val="single"/>
              <w:right w:color="006600" w:space="0" w:sz="4" w:val="single"/>
            </w:tcBorders>
            <w:shd w:fill="006600" w:val="clea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ffff"/>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0"/>
                <w:szCs w:val="20"/>
                <w:u w:val="none"/>
                <w:shd w:fill="auto" w:val="clear"/>
                <w:vertAlign w:val="baseline"/>
                <w:rtl w:val="0"/>
              </w:rPr>
              <w:t xml:space="preserve">SGL</w:t>
            </w:r>
          </w:p>
        </w:tc>
        <w:tc>
          <w:tcPr>
            <w:tcBorders>
              <w:top w:color="006600" w:space="0" w:sz="4" w:val="single"/>
              <w:left w:color="006600" w:space="0" w:sz="4" w:val="single"/>
              <w:bottom w:color="006600" w:space="0" w:sz="4" w:val="single"/>
              <w:right w:color="006600" w:space="0" w:sz="4" w:val="single"/>
            </w:tcBorders>
            <w:shd w:fill="006600" w:val="clea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ffff"/>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0"/>
                <w:szCs w:val="20"/>
                <w:u w:val="none"/>
                <w:shd w:fill="auto" w:val="clear"/>
                <w:vertAlign w:val="baseline"/>
                <w:rtl w:val="0"/>
              </w:rPr>
              <w:t xml:space="preserve">DBL</w:t>
            </w:r>
          </w:p>
        </w:tc>
        <w:tc>
          <w:tcPr>
            <w:tcBorders>
              <w:top w:color="006600" w:space="0" w:sz="4" w:val="single"/>
              <w:left w:color="006600" w:space="0" w:sz="4" w:val="single"/>
              <w:bottom w:color="006600" w:space="0" w:sz="4" w:val="single"/>
              <w:right w:color="006600" w:space="0" w:sz="4" w:val="single"/>
            </w:tcBorders>
            <w:shd w:fill="006600" w:val="clea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ffff"/>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0"/>
                <w:szCs w:val="20"/>
                <w:u w:val="none"/>
                <w:shd w:fill="auto" w:val="clear"/>
                <w:vertAlign w:val="baseline"/>
                <w:rtl w:val="0"/>
              </w:rPr>
              <w:t xml:space="preserve">TPL</w:t>
            </w:r>
          </w:p>
        </w:tc>
        <w:tc>
          <w:tcPr>
            <w:gridSpan w:val="2"/>
            <w:tcBorders>
              <w:top w:color="006600" w:space="0" w:sz="4" w:val="single"/>
              <w:left w:color="006600" w:space="0" w:sz="4" w:val="single"/>
              <w:bottom w:color="006600" w:space="0" w:sz="4" w:val="single"/>
              <w:right w:color="006600" w:space="0" w:sz="4" w:val="single"/>
            </w:tcBorders>
            <w:shd w:fill="006600" w:val="cle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ffff"/>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0"/>
                <w:szCs w:val="20"/>
                <w:u w:val="none"/>
                <w:shd w:fill="auto" w:val="clear"/>
                <w:vertAlign w:val="baseline"/>
                <w:rtl w:val="0"/>
              </w:rPr>
              <w:t xml:space="preserve">VIGENCIA</w:t>
            </w:r>
          </w:p>
        </w:tc>
      </w:tr>
      <w:tr>
        <w:trPr>
          <w:cantSplit w:val="0"/>
          <w:trHeight w:val="222" w:hRule="atLeast"/>
          <w:tblHeader w:val="0"/>
        </w:trPr>
        <w:tc>
          <w:tcPr>
            <w:tcBorders>
              <w:left w:color="006600" w:space="0" w:sz="4" w:val="single"/>
              <w:right w:color="006600" w:space="0" w:sz="4" w:val="single"/>
            </w:tcBorders>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Meliá Orlando Celebration</w:t>
            </w:r>
          </w:p>
        </w:tc>
        <w:tc>
          <w:tcPr>
            <w:tcBorders>
              <w:top w:color="000000" w:space="0" w:sz="5" w:val="single"/>
              <w:left w:color="000000"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15">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1722</w:t>
            </w:r>
            <w:r w:rsidDel="00000000" w:rsidR="00000000" w:rsidRPr="00000000">
              <w:rPr>
                <w:rFonts w:ascii="Calibri" w:cs="Calibri" w:eastAsia="Calibri" w:hAnsi="Calibri"/>
                <w:sz w:val="22"/>
                <w:szCs w:val="22"/>
                <w:rtl w:val="0"/>
              </w:rPr>
              <w:t xml:space="preserve"> </w:t>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16">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1450</w:t>
            </w:r>
            <w:r w:rsidDel="00000000" w:rsidR="00000000" w:rsidRPr="00000000">
              <w:rPr>
                <w:rFonts w:ascii="Calibri" w:cs="Calibri" w:eastAsia="Calibri" w:hAnsi="Calibri"/>
                <w:sz w:val="22"/>
                <w:szCs w:val="22"/>
                <w:rtl w:val="0"/>
              </w:rPr>
              <w:t xml:space="preserve"> </w:t>
            </w:r>
          </w:p>
        </w:tc>
        <w:tc>
          <w:tcPr>
            <w:tcBorders>
              <w:top w:color="000000" w:space="0" w:sz="5" w:val="single"/>
              <w:left w:color="cccccc" w:space="0" w:sz="5" w:val="single"/>
              <w:bottom w:color="000000" w:space="0" w:sz="5" w:val="single"/>
              <w:right w:color="000000" w:space="0" w:sz="5" w:val="single"/>
            </w:tcBorders>
            <w:shd w:fill="ffffff" w:val="clear"/>
            <w:tcMar>
              <w:top w:w="0.0" w:type="dxa"/>
              <w:left w:w="40.0" w:type="dxa"/>
              <w:bottom w:w="0.0" w:type="dxa"/>
              <w:right w:w="40.0" w:type="dxa"/>
            </w:tcMar>
            <w:vAlign w:val="center"/>
          </w:tcPr>
          <w:p w:rsidR="00000000" w:rsidDel="00000000" w:rsidP="00000000" w:rsidRDefault="00000000" w:rsidRPr="00000000" w14:paraId="00000017">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1382</w:t>
            </w:r>
            <w:r w:rsidDel="00000000" w:rsidR="00000000" w:rsidRPr="00000000">
              <w:rPr>
                <w:rFonts w:ascii="Calibri" w:cs="Calibri" w:eastAsia="Calibri" w:hAnsi="Calibri"/>
                <w:sz w:val="22"/>
                <w:szCs w:val="22"/>
                <w:rtl w:val="0"/>
              </w:rPr>
              <w:t xml:space="preserve"> </w:t>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05/12/2026</w:t>
            </w:r>
            <w:r w:rsidDel="00000000" w:rsidR="00000000" w:rsidRPr="00000000">
              <w:rPr>
                <w:rtl w:val="0"/>
              </w:rPr>
            </w:r>
          </w:p>
        </w:tc>
        <w:tc>
          <w:tcPr>
            <w:tcBorders>
              <w:top w:color="006600" w:space="0" w:sz="4" w:val="single"/>
              <w:left w:color="006600" w:space="0" w:sz="4" w:val="single"/>
              <w:bottom w:color="006600" w:space="0" w:sz="4" w:val="single"/>
              <w:right w:color="006600" w:space="0" w:sz="4" w:val="single"/>
            </w:tcBorders>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09/12/2026</w:t>
            </w:r>
            <w:r w:rsidDel="00000000" w:rsidR="00000000" w:rsidRPr="00000000">
              <w:rPr>
                <w:rtl w:val="0"/>
              </w:rPr>
            </w:r>
          </w:p>
        </w:tc>
      </w:tr>
    </w:tb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0"/>
          <w:szCs w:val="20"/>
          <w:rtl w:val="0"/>
        </w:rPr>
        <w:t xml:space="preserve">COMISIÓN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sz w:val="20"/>
          <w:szCs w:val="20"/>
          <w:rtl w:val="0"/>
        </w:rPr>
        <w:t xml:space="preserve">5</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0 </w:t>
        <w:tab/>
        <w:tab/>
        <w:tab/>
        <w:tab/>
        <w:t xml:space="preserve">INCENTIVO US $10 P/PAX</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bookmarkStart w:colFirst="0" w:colLast="0" w:name="_w7f5tbo57mop" w:id="1"/>
      <w:bookmarkEnd w:id="1"/>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bookmarkStart w:colFirst="0" w:colLast="0" w:name="_s89yze40ogeg" w:id="2"/>
      <w:bookmarkEnd w:id="2"/>
      <w:r w:rsidDel="00000000" w:rsidR="00000000" w:rsidRPr="00000000">
        <w:rPr>
          <w:rFonts w:ascii="Calibri" w:cs="Calibri" w:eastAsia="Calibri" w:hAnsi="Calibri"/>
          <w:sz w:val="20"/>
          <w:szCs w:val="20"/>
          <w:rtl w:val="0"/>
        </w:rPr>
        <w:t xml:space="preserve">Tarjeta de Asistencia, tener en cuenta que la cobertura alcanza un máximo de edad de 69 años y 11 meses. Revisar adicional para pasajeros mayores de 70 años.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E">
      <w:pPr>
        <w:numPr>
          <w:ilvl w:val="0"/>
          <w:numId w:val="2"/>
        </w:numPr>
        <w:ind w:left="720" w:hanging="360"/>
        <w:rPr>
          <w:sz w:val="22"/>
          <w:szCs w:val="22"/>
        </w:rPr>
      </w:pPr>
      <w:r w:rsidDel="00000000" w:rsidR="00000000" w:rsidRPr="00000000">
        <w:rPr>
          <w:rFonts w:ascii="Calibri" w:cs="Calibri" w:eastAsia="Calibri" w:hAnsi="Calibri"/>
          <w:sz w:val="22"/>
          <w:szCs w:val="22"/>
          <w:rtl w:val="0"/>
        </w:rPr>
        <w:t xml:space="preserve">Las anteriores Tarifas NO Incluyen: Otros servicios no indicados en esta oferta.</w:t>
      </w:r>
    </w:p>
    <w:p w:rsidR="00000000" w:rsidDel="00000000" w:rsidP="00000000" w:rsidRDefault="00000000" w:rsidRPr="00000000" w14:paraId="0000001F">
      <w:pPr>
        <w:numPr>
          <w:ilvl w:val="0"/>
          <w:numId w:val="2"/>
        </w:numPr>
        <w:ind w:left="720" w:hanging="360"/>
        <w:rPr>
          <w:rFonts w:ascii="Times New Roman" w:cs="Times New Roman" w:eastAsia="Times New Roman" w:hAnsi="Times New Roman"/>
          <w:sz w:val="24"/>
          <w:szCs w:val="24"/>
        </w:rPr>
      </w:pPr>
      <w:r w:rsidDel="00000000" w:rsidR="00000000" w:rsidRPr="00000000">
        <w:rPr>
          <w:rFonts w:ascii="Calibri" w:cs="Calibri" w:eastAsia="Calibri" w:hAnsi="Calibri"/>
          <w:b w:val="1"/>
          <w:bCs w:val="1"/>
          <w:sz w:val="20"/>
          <w:szCs w:val="20"/>
          <w:rtl w:val="0"/>
        </w:rPr>
        <w:t xml:space="preserve">PRECIO POR PERSONA, EN DÓLARES AMERICANOS.</w:t>
      </w:r>
    </w:p>
    <w:p w:rsidR="00000000" w:rsidDel="00000000" w:rsidP="00000000" w:rsidRDefault="00000000" w:rsidRPr="00000000" w14:paraId="00000020">
      <w:pPr>
        <w:numPr>
          <w:ilvl w:val="0"/>
          <w:numId w:val="2"/>
        </w:numPr>
        <w:ind w:left="720" w:hanging="360"/>
        <w:rPr>
          <w:rFonts w:ascii="Times New Roman" w:cs="Times New Roman" w:eastAsia="Times New Roman" w:hAnsi="Times New Roman"/>
          <w:sz w:val="24"/>
          <w:szCs w:val="24"/>
        </w:rPr>
      </w:pPr>
      <w:r w:rsidDel="00000000" w:rsidR="00000000" w:rsidRPr="00000000">
        <w:rPr>
          <w:rFonts w:ascii="Calibri" w:cs="Calibri" w:eastAsia="Calibri" w:hAnsi="Calibri"/>
          <w:sz w:val="20"/>
          <w:szCs w:val="20"/>
          <w:rtl w:val="0"/>
        </w:rPr>
        <w:t xml:space="preserve">Los hoteles son con tarifa dinámica, sujetos a disponibilidad y cambios de precio sin </w:t>
      </w:r>
    </w:p>
    <w:p w:rsidR="00000000" w:rsidDel="00000000" w:rsidP="00000000" w:rsidRDefault="00000000" w:rsidRPr="00000000" w14:paraId="00000021">
      <w:pPr>
        <w:numPr>
          <w:ilvl w:val="0"/>
          <w:numId w:val="2"/>
        </w:numPr>
        <w:ind w:left="720" w:hanging="36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Tarifas no incluyen resort fee </w:t>
      </w:r>
    </w:p>
    <w:p w:rsidR="00000000" w:rsidDel="00000000" w:rsidP="00000000" w:rsidRDefault="00000000" w:rsidRPr="00000000" w14:paraId="00000022">
      <w:pPr>
        <w:numPr>
          <w:ilvl w:val="0"/>
          <w:numId w:val="2"/>
        </w:numPr>
        <w:ind w:left="720" w:hanging="360"/>
        <w:jc w:val="both"/>
        <w:rPr>
          <w:b w:val="1"/>
          <w:bCs w:val="1"/>
        </w:rPr>
      </w:pPr>
      <w:r w:rsidDel="00000000" w:rsidR="00000000" w:rsidRPr="00000000">
        <w:rPr>
          <w:rFonts w:ascii="Calibri" w:cs="Calibri" w:eastAsia="Calibri" w:hAnsi="Calibri"/>
          <w:b w:val="1"/>
          <w:bCs w:val="1"/>
          <w:sz w:val="20"/>
          <w:szCs w:val="20"/>
          <w:rtl w:val="0"/>
        </w:rPr>
        <w:t xml:space="preserve">HOTEL MELIÁ NO INCLUYE RESORT FEE PAGADERO EN EL HOTEL POR EL PAX </w:t>
      </w:r>
    </w:p>
    <w:p w:rsidR="00000000" w:rsidDel="00000000" w:rsidP="00000000" w:rsidRDefault="00000000" w:rsidRPr="00000000" w14:paraId="00000023">
      <w:pPr>
        <w:numPr>
          <w:ilvl w:val="0"/>
          <w:numId w:val="2"/>
        </w:numPr>
        <w:ind w:left="720" w:hanging="360"/>
        <w:jc w:val="both"/>
      </w:pPr>
      <w:r w:rsidDel="00000000" w:rsidR="00000000" w:rsidRPr="00000000">
        <w:rPr>
          <w:rFonts w:ascii="Calibri" w:cs="Calibri" w:eastAsia="Calibri" w:hAnsi="Calibri"/>
          <w:sz w:val="20"/>
          <w:szCs w:val="20"/>
          <w:rtl w:val="0"/>
        </w:rPr>
        <w:t xml:space="preserve">Hoteles de USA solicitan tarjeta de crédito como garantía para el alojamiento</w:t>
      </w:r>
    </w:p>
    <w:p w:rsidR="00000000" w:rsidDel="00000000" w:rsidP="00000000" w:rsidRDefault="00000000" w:rsidRPr="00000000" w14:paraId="00000024">
      <w:pPr>
        <w:numPr>
          <w:ilvl w:val="0"/>
          <w:numId w:val="2"/>
        </w:numPr>
        <w:ind w:left="720" w:hanging="360"/>
        <w:jc w:val="both"/>
      </w:pPr>
      <w:r w:rsidDel="00000000" w:rsidR="00000000" w:rsidRPr="00000000">
        <w:rPr>
          <w:rFonts w:ascii="Calibri" w:cs="Calibri" w:eastAsia="Calibri" w:hAnsi="Calibri"/>
          <w:sz w:val="20"/>
          <w:szCs w:val="20"/>
          <w:rtl w:val="0"/>
        </w:rPr>
        <w:t xml:space="preserve">Sujeto A Cambio Sin Previo Aviso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0"/>
          <w:szCs w:val="20"/>
        </w:rPr>
      </w:pPr>
      <w:bookmarkStart w:colFirst="0" w:colLast="0" w:name="_ilela8xld1tl" w:id="3"/>
      <w:bookmarkEnd w:id="3"/>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Condiciones Generales: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7"/>
          <w:szCs w:val="1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7"/>
          <w:szCs w:val="17"/>
          <w:u w:val="none"/>
          <w:shd w:fill="auto" w:val="clear"/>
          <w:vertAlign w:val="baseline"/>
          <w:rtl w:val="0"/>
        </w:rPr>
        <w:t xml:space="preserve">Referente al ticket aéreo:</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17"/>
          <w:szCs w:val="17"/>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Reservas en Clase “L/</w:t>
      </w:r>
      <w:r w:rsidDel="00000000" w:rsidR="00000000" w:rsidRPr="00000000">
        <w:rPr>
          <w:rFonts w:ascii="Calibri" w:cs="Calibri" w:eastAsia="Calibri" w:hAnsi="Calibri"/>
          <w:sz w:val="17"/>
          <w:szCs w:val="17"/>
          <w:rtl w:val="0"/>
        </w:rPr>
        <w:t xml:space="preserve">S</w:t>
      </w: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17"/>
          <w:szCs w:val="17"/>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INCLUYE </w:t>
      </w:r>
      <w:r w:rsidDel="00000000" w:rsidR="00000000" w:rsidRPr="00000000">
        <w:rPr>
          <w:rFonts w:ascii="Calibri" w:cs="Calibri" w:eastAsia="Calibri" w:hAnsi="Calibri"/>
          <w:sz w:val="17"/>
          <w:szCs w:val="17"/>
          <w:rtl w:val="0"/>
        </w:rPr>
        <w:t xml:space="preserve">ARTÍCULO</w:t>
      </w: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 PERSONAL Y EQUIPAJE DE MANO</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17"/>
          <w:szCs w:val="17"/>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NO INCLUYE MALETA EN BODEGA.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17"/>
          <w:szCs w:val="1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7"/>
          <w:szCs w:val="17"/>
          <w:u w:val="none"/>
          <w:shd w:fill="auto" w:val="clear"/>
          <w:vertAlign w:val="baseline"/>
          <w:rtl w:val="0"/>
        </w:rPr>
        <w:t xml:space="preserve">SUJETO A CAMBIOS SIN PREVIO AVISO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17"/>
          <w:szCs w:val="1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7"/>
          <w:szCs w:val="17"/>
          <w:u w:val="none"/>
          <w:shd w:fill="auto" w:val="clear"/>
          <w:vertAlign w:val="baseline"/>
          <w:rtl w:val="0"/>
        </w:rPr>
        <w:t xml:space="preserve">LOS VUELOS </w:t>
      </w:r>
      <w:r w:rsidDel="00000000" w:rsidR="00000000" w:rsidRPr="00000000">
        <w:rPr>
          <w:rFonts w:ascii="Calibri" w:cs="Calibri" w:eastAsia="Calibri" w:hAnsi="Calibri"/>
          <w:b w:val="1"/>
          <w:bCs w:val="1"/>
          <w:sz w:val="17"/>
          <w:szCs w:val="17"/>
          <w:rtl w:val="0"/>
        </w:rPr>
        <w:t xml:space="preserve">ESTÁN</w:t>
      </w:r>
      <w:r w:rsidDel="00000000" w:rsidR="00000000" w:rsidRPr="00000000">
        <w:rPr>
          <w:rFonts w:ascii="Calibri" w:cs="Calibri" w:eastAsia="Calibri" w:hAnsi="Calibri"/>
          <w:b w:val="1"/>
          <w:bCs w:val="1"/>
          <w:i w:val="0"/>
          <w:iCs w:val="0"/>
          <w:smallCaps w:val="0"/>
          <w:strike w:val="0"/>
          <w:color w:val="000000"/>
          <w:sz w:val="17"/>
          <w:szCs w:val="17"/>
          <w:u w:val="none"/>
          <w:shd w:fill="auto" w:val="clear"/>
          <w:vertAlign w:val="baseline"/>
          <w:rtl w:val="0"/>
        </w:rPr>
        <w:t xml:space="preserve"> SUJETOS A CAMBIOS SIN PREVIO AVISO</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17"/>
          <w:szCs w:val="17"/>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7"/>
          <w:szCs w:val="17"/>
          <w:u w:val="none"/>
          <w:shd w:fill="auto" w:val="clear"/>
          <w:vertAlign w:val="baseline"/>
          <w:rtl w:val="0"/>
        </w:rPr>
        <w:t xml:space="preserve">EL COSTO DE LOS IMPUESTOS </w:t>
      </w:r>
      <w:r w:rsidDel="00000000" w:rsidR="00000000" w:rsidRPr="00000000">
        <w:rPr>
          <w:rFonts w:ascii="Calibri" w:cs="Calibri" w:eastAsia="Calibri" w:hAnsi="Calibri"/>
          <w:b w:val="1"/>
          <w:bCs w:val="1"/>
          <w:sz w:val="17"/>
          <w:szCs w:val="17"/>
          <w:rtl w:val="0"/>
        </w:rPr>
        <w:t xml:space="preserve">ESTÁ</w:t>
      </w:r>
      <w:r w:rsidDel="00000000" w:rsidR="00000000" w:rsidRPr="00000000">
        <w:rPr>
          <w:rFonts w:ascii="Calibri" w:cs="Calibri" w:eastAsia="Calibri" w:hAnsi="Calibri"/>
          <w:b w:val="1"/>
          <w:bCs w:val="1"/>
          <w:i w:val="0"/>
          <w:iCs w:val="0"/>
          <w:smallCaps w:val="0"/>
          <w:strike w:val="0"/>
          <w:color w:val="000000"/>
          <w:sz w:val="17"/>
          <w:szCs w:val="17"/>
          <w:u w:val="none"/>
          <w:shd w:fill="auto" w:val="clear"/>
          <w:vertAlign w:val="baseline"/>
          <w:rtl w:val="0"/>
        </w:rPr>
        <w:t xml:space="preserve"> SUJETO A CAMBIOS HASTA EL MOMENTO DE LA EMISIÓN DEL MISMO.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OPCIONALES: </w:t>
      </w:r>
    </w:p>
    <w:tbl>
      <w:tblPr>
        <w:tblStyle w:val="Table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41"/>
        <w:gridCol w:w="1553"/>
        <w:tblGridChange w:id="0">
          <w:tblGrid>
            <w:gridCol w:w="6941"/>
            <w:gridCol w:w="1553"/>
          </w:tblGrid>
        </w:tblGridChange>
      </w:tblGrid>
      <w:tr>
        <w:trPr>
          <w:cantSplit w:val="0"/>
          <w:tblHeader w:val="0"/>
        </w:trPr>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ENTRADAS A PARQUES: </w:t>
            </w:r>
          </w:p>
        </w:tc>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Boleto para 3 parques de Florida + comidas todo el día a partir de 3 años </w:t>
            </w:r>
            <w:r w:rsidDel="00000000" w:rsidR="00000000" w:rsidRPr="00000000">
              <w:rPr>
                <w:rtl w:val="0"/>
              </w:rPr>
            </w:r>
          </w:p>
        </w:tc>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$ 1</w:t>
            </w:r>
            <w:r w:rsidDel="00000000" w:rsidR="00000000" w:rsidRPr="00000000">
              <w:rPr>
                <w:rFonts w:ascii="Calibri" w:cs="Calibri" w:eastAsia="Calibri" w:hAnsi="Calibri"/>
                <w:b w:val="1"/>
                <w:bCs w:val="1"/>
                <w:rtl w:val="0"/>
              </w:rPr>
              <w:t xml:space="preserve">86</w:t>
            </w:r>
            <w:r w:rsidDel="00000000" w:rsidR="00000000" w:rsidRPr="00000000">
              <w:rPr>
                <w:rtl w:val="0"/>
              </w:rPr>
            </w:r>
          </w:p>
        </w:tc>
      </w:tr>
      <w:tr>
        <w:trPr>
          <w:cantSplit w:val="0"/>
          <w:tblHeader w:val="0"/>
        </w:trPr>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Admisión de 3 días Parque Temático Disney</w:t>
            </w:r>
            <w:r w:rsidDel="00000000" w:rsidR="00000000" w:rsidRPr="00000000">
              <w:rPr>
                <w:rtl w:val="0"/>
              </w:rPr>
            </w:r>
          </w:p>
        </w:tc>
        <w:tc>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$ 595</w:t>
            </w:r>
          </w:p>
        </w:tc>
      </w:tr>
    </w:tb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Precios por persona,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Comisionables al 10%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BOLETO PARA 3 PARQUES DE FLORIDA + COMIDAS TODO EL DÍA A PARTIR DE 3 AÑOS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 precio no incluye estacionamiento, impuestos ni cargos por servicio. La primera visita debe usarse dentro de los 365 días posteriores a la compra durante el horario de atención regular. La segunda visita y la oferta de comidas de todo el día deben canjearse dentro de los 14 días posteriores a la primera visita. La oferta, los productos del parque, los horarios y los servicios están sujetos a cambios o cancelaciones sin previo aviso. Adventure Island es un parque estacional. Visite adventureisland.com para conocer los horarios del parque.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Detalles de comidas durante todo el día</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Válido para tres (3) ofertas de comidas de todo el día si se compra una mejora de comidas. La oferta de comidas para todo el día incluye 1 plato principal, 1 acompañamiento O 1 postre y 1 bebida sin alcohol de tamaño normal cada vez que pasa por la fila hasta una vez cada 90 minutos hasta 30 minutos antes de la hora de cierre del restaurante. Se requiere boleto e identificación con foto al canjear All-Day Dining en cada restaurante. Se aplican algunas exclusiones de alimentos y bebidas. No válido para bebidas alcohólicas. Está prohibido compartir y llevar. No válido en Sharks Underwater Grill, Dine with Orcas, Flamecraft Bar, Serengeti Overlook™ Restaurant ni para cenas especiales. Restaurantes participantes señalados en el parque. Válido para la persona que figura en el billete.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7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DÍAS PARQUE </w:t>
      </w:r>
      <w:r w:rsidDel="00000000" w:rsidR="00000000" w:rsidRPr="00000000">
        <w:rPr>
          <w:rFonts w:ascii="Calibri" w:cs="Calibri" w:eastAsia="Calibri" w:hAnsi="Calibri"/>
          <w:b w:val="1"/>
          <w:bCs w:val="1"/>
          <w:rtl w:val="0"/>
        </w:rPr>
        <w:t xml:space="preserve">TEMÁTICO</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DISNEY</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7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Admisión de 3 días para visitar los </w:t>
      </w:r>
      <w:r w:rsidDel="00000000" w:rsidR="00000000" w:rsidRPr="00000000">
        <w:rPr>
          <w:rFonts w:ascii="Calibri" w:cs="Calibri" w:eastAsia="Calibri" w:hAnsi="Calibri"/>
          <w:rtl w:val="0"/>
        </w:rPr>
        <w:t xml:space="preserve">Parques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temáticos: Magic Kingdom, Disney's Animal Kingdom, Disney's Hollywood Studios, Epcot. Visita 1 parque por día,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sectPr>
      <w:headerReference r:id="rId6" w:type="default"/>
      <w:footerReference r:id="rId7" w:type="default"/>
      <w:pgSz w:h="16838" w:w="11906" w:orient="portrait"/>
      <w:pgMar w:bottom="1135" w:top="284"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Mayor Información: Lima: (01) 681 – 6707 - atencionalcliente@vidatur.net / Web: www.vidatur.net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191002" cy="384698"/>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91002" cy="38469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40" w:lineRule="auto"/>
    </w:pPr>
    <w:rPr>
      <w:rFonts w:ascii="Cambria" w:cs="Cambria" w:eastAsia="Cambria" w:hAnsi="Cambria"/>
      <w:color w:val="36609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