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Arial" w:cs="Arial" w:eastAsia="Arial" w:hAnsi="Arial"/>
          <w:b w:val="1"/>
          <w:bCs w:val="1"/>
          <w:color w:val="000000"/>
          <w:sz w:val="28"/>
          <w:szCs w:val="28"/>
        </w:rPr>
      </w:pPr>
      <w:r w:rsidDel="00000000" w:rsidR="00000000" w:rsidRPr="00000000">
        <w:rPr>
          <w:rFonts w:ascii="Arial" w:cs="Arial" w:eastAsia="Arial" w:hAnsi="Arial"/>
          <w:b w:val="1"/>
          <w:bCs w:val="1"/>
          <w:color w:val="000000"/>
          <w:sz w:val="28"/>
          <w:szCs w:val="28"/>
          <w:rtl w:val="0"/>
        </w:rPr>
        <w:t xml:space="preserve"> </w:t>
      </w:r>
    </w:p>
    <w:p w:rsidR="00000000" w:rsidDel="00000000" w:rsidP="00000000" w:rsidRDefault="00000000" w:rsidRPr="00000000" w14:paraId="00000002">
      <w:pPr>
        <w:jc w:val="center"/>
        <w:rPr>
          <w:rFonts w:ascii="Arial" w:cs="Arial" w:eastAsia="Arial" w:hAnsi="Arial"/>
          <w:b w:val="1"/>
          <w:bCs w:val="1"/>
          <w:color w:val="17365d"/>
          <w:sz w:val="28"/>
          <w:szCs w:val="28"/>
        </w:rPr>
      </w:pPr>
      <w:r w:rsidDel="00000000" w:rsidR="00000000" w:rsidRPr="00000000">
        <w:rPr>
          <w:rFonts w:ascii="Arial" w:cs="Arial" w:eastAsia="Arial" w:hAnsi="Arial"/>
          <w:b w:val="1"/>
          <w:bCs w:val="1"/>
          <w:color w:val="17365d"/>
          <w:sz w:val="28"/>
          <w:szCs w:val="28"/>
          <w:rtl w:val="0"/>
        </w:rPr>
        <w:t xml:space="preserve">OPCIONALES VARADERO </w:t>
      </w:r>
    </w:p>
    <w:p w:rsidR="00000000" w:rsidDel="00000000" w:rsidP="00000000" w:rsidRDefault="00000000" w:rsidRPr="00000000" w14:paraId="00000003">
      <w:pPr>
        <w:spacing w:after="200" w:line="276" w:lineRule="auto"/>
        <w:rPr>
          <w:rFonts w:ascii="Arial" w:cs="Arial" w:eastAsia="Arial" w:hAnsi="Arial"/>
          <w:b w:val="1"/>
          <w:bCs w:val="1"/>
          <w:i w:val="1"/>
          <w:iCs w:val="1"/>
          <w:sz w:val="20"/>
          <w:szCs w:val="20"/>
        </w:rPr>
      </w:pPr>
      <w:r w:rsidDel="00000000" w:rsidR="00000000" w:rsidRPr="00000000">
        <w:rPr>
          <w:rtl w:val="0"/>
        </w:rPr>
      </w:r>
    </w:p>
    <w:tbl>
      <w:tblPr>
        <w:tblStyle w:val="Table1"/>
        <w:tblW w:w="6795.0" w:type="dxa"/>
        <w:jc w:val="center"/>
        <w:tblLayout w:type="fixed"/>
        <w:tblLook w:val="0400"/>
      </w:tblPr>
      <w:tblGrid>
        <w:gridCol w:w="4470"/>
        <w:gridCol w:w="735"/>
        <w:gridCol w:w="630"/>
        <w:gridCol w:w="960"/>
        <w:tblGridChange w:id="0">
          <w:tblGrid>
            <w:gridCol w:w="4470"/>
            <w:gridCol w:w="735"/>
            <w:gridCol w:w="630"/>
            <w:gridCol w:w="960"/>
          </w:tblGrid>
        </w:tblGridChange>
      </w:tblGrid>
      <w:tr>
        <w:trPr>
          <w:cantSplit w:val="0"/>
          <w:trHeight w:val="288" w:hRule="atLeast"/>
          <w:tblHeader w:val="0"/>
        </w:trPr>
        <w:tc>
          <w:tcPr>
            <w:tcBorders>
              <w:top w:color="000000" w:space="0" w:sz="8" w:val="single"/>
              <w:left w:color="000000" w:space="0" w:sz="8" w:val="single"/>
              <w:bottom w:color="000000" w:space="0" w:sz="0" w:val="nil"/>
              <w:right w:color="000000" w:space="0" w:sz="8" w:val="single"/>
            </w:tcBorders>
            <w:shd w:fill="006600" w:val="clear"/>
            <w:vAlign w:val="center"/>
          </w:tcPr>
          <w:p w:rsidR="00000000" w:rsidDel="00000000" w:rsidP="00000000" w:rsidRDefault="00000000" w:rsidRPr="00000000" w14:paraId="00000004">
            <w:pPr>
              <w:jc w:val="center"/>
              <w:rPr>
                <w:rFonts w:ascii="Calibri" w:cs="Calibri" w:eastAsia="Calibri" w:hAnsi="Calibri"/>
                <w:b w:val="1"/>
                <w:bCs w:val="1"/>
                <w:color w:val="ffffff"/>
                <w:sz w:val="20"/>
                <w:szCs w:val="20"/>
              </w:rPr>
            </w:pPr>
            <w:r w:rsidDel="00000000" w:rsidR="00000000" w:rsidRPr="00000000">
              <w:rPr>
                <w:rFonts w:ascii="Calibri" w:cs="Calibri" w:eastAsia="Calibri" w:hAnsi="Calibri"/>
                <w:b w:val="1"/>
                <w:bCs w:val="1"/>
                <w:color w:val="ffffff"/>
                <w:sz w:val="20"/>
                <w:szCs w:val="20"/>
                <w:rtl w:val="0"/>
              </w:rPr>
              <w:t xml:space="preserve">TOURS OPCIONALES</w:t>
            </w:r>
          </w:p>
        </w:tc>
        <w:tc>
          <w:tcPr>
            <w:tcBorders>
              <w:top w:color="000000" w:space="0" w:sz="8" w:val="single"/>
              <w:left w:color="000000" w:space="0" w:sz="0" w:val="nil"/>
              <w:bottom w:color="000000" w:space="0" w:sz="0" w:val="nil"/>
              <w:right w:color="000000" w:space="0" w:sz="8" w:val="single"/>
            </w:tcBorders>
            <w:shd w:fill="006600" w:val="clear"/>
            <w:vAlign w:val="center"/>
          </w:tcPr>
          <w:p w:rsidR="00000000" w:rsidDel="00000000" w:rsidP="00000000" w:rsidRDefault="00000000" w:rsidRPr="00000000" w14:paraId="00000005">
            <w:pPr>
              <w:jc w:val="center"/>
              <w:rPr>
                <w:rFonts w:ascii="Calibri" w:cs="Calibri" w:eastAsia="Calibri" w:hAnsi="Calibri"/>
                <w:b w:val="1"/>
                <w:bCs w:val="1"/>
                <w:color w:val="ffffff"/>
                <w:sz w:val="20"/>
                <w:szCs w:val="20"/>
              </w:rPr>
            </w:pPr>
            <w:r w:rsidDel="00000000" w:rsidR="00000000" w:rsidRPr="00000000">
              <w:rPr>
                <w:rFonts w:ascii="Calibri" w:cs="Calibri" w:eastAsia="Calibri" w:hAnsi="Calibri"/>
                <w:b w:val="1"/>
                <w:bCs w:val="1"/>
                <w:color w:val="ffffff"/>
                <w:sz w:val="20"/>
                <w:szCs w:val="20"/>
                <w:rtl w:val="0"/>
              </w:rPr>
              <w:t xml:space="preserve">ADT</w:t>
            </w:r>
          </w:p>
        </w:tc>
        <w:tc>
          <w:tcPr>
            <w:tcBorders>
              <w:top w:color="000000" w:space="0" w:sz="8" w:val="single"/>
              <w:left w:color="000000" w:space="0" w:sz="0" w:val="nil"/>
              <w:bottom w:color="000000" w:space="0" w:sz="0" w:val="nil"/>
              <w:right w:color="000000" w:space="0" w:sz="8" w:val="single"/>
            </w:tcBorders>
            <w:shd w:fill="006600" w:val="clear"/>
            <w:vAlign w:val="center"/>
          </w:tcPr>
          <w:p w:rsidR="00000000" w:rsidDel="00000000" w:rsidP="00000000" w:rsidRDefault="00000000" w:rsidRPr="00000000" w14:paraId="00000006">
            <w:pPr>
              <w:jc w:val="center"/>
              <w:rPr>
                <w:rFonts w:ascii="Calibri" w:cs="Calibri" w:eastAsia="Calibri" w:hAnsi="Calibri"/>
                <w:b w:val="1"/>
                <w:bCs w:val="1"/>
                <w:color w:val="ffffff"/>
                <w:sz w:val="20"/>
                <w:szCs w:val="20"/>
              </w:rPr>
            </w:pPr>
            <w:r w:rsidDel="00000000" w:rsidR="00000000" w:rsidRPr="00000000">
              <w:rPr>
                <w:rFonts w:ascii="Calibri" w:cs="Calibri" w:eastAsia="Calibri" w:hAnsi="Calibri"/>
                <w:b w:val="1"/>
                <w:bCs w:val="1"/>
                <w:color w:val="ffffff"/>
                <w:sz w:val="20"/>
                <w:szCs w:val="20"/>
                <w:rtl w:val="0"/>
              </w:rPr>
              <w:t xml:space="preserve">CHD</w:t>
            </w:r>
          </w:p>
        </w:tc>
        <w:tc>
          <w:tcPr>
            <w:tcBorders>
              <w:top w:color="000000" w:space="0" w:sz="8" w:val="single"/>
              <w:left w:color="000000" w:space="0" w:sz="0" w:val="nil"/>
              <w:bottom w:color="000000" w:space="0" w:sz="0" w:val="nil"/>
              <w:right w:color="000000" w:space="0" w:sz="8" w:val="single"/>
            </w:tcBorders>
            <w:shd w:fill="006600" w:val="clear"/>
            <w:vAlign w:val="center"/>
          </w:tcPr>
          <w:p w:rsidR="00000000" w:rsidDel="00000000" w:rsidP="00000000" w:rsidRDefault="00000000" w:rsidRPr="00000000" w14:paraId="00000007">
            <w:pPr>
              <w:jc w:val="left"/>
              <w:rPr>
                <w:rFonts w:ascii="Calibri" w:cs="Calibri" w:eastAsia="Calibri" w:hAnsi="Calibri"/>
                <w:b w:val="1"/>
                <w:bCs w:val="1"/>
                <w:color w:val="ffffff"/>
                <w:sz w:val="20"/>
                <w:szCs w:val="20"/>
              </w:rPr>
            </w:pPr>
            <w:r w:rsidDel="00000000" w:rsidR="00000000" w:rsidRPr="00000000">
              <w:rPr>
                <w:rFonts w:ascii="Calibri" w:cs="Calibri" w:eastAsia="Calibri" w:hAnsi="Calibri"/>
                <w:b w:val="1"/>
                <w:bCs w:val="1"/>
                <w:color w:val="ffffff"/>
                <w:sz w:val="20"/>
                <w:szCs w:val="20"/>
                <w:rtl w:val="0"/>
              </w:rPr>
              <w:t xml:space="preserve">OPERA</w:t>
            </w:r>
          </w:p>
        </w:tc>
      </w:tr>
      <w:tr>
        <w:trPr>
          <w:cantSplit w:val="0"/>
          <w:trHeight w:val="276" w:hRule="atLeast"/>
          <w:tblHeader w:val="0"/>
        </w:trPr>
        <w:tc>
          <w:tcPr>
            <w:tcBorders>
              <w:top w:color="000000" w:space="0" w:sz="5" w:val="single"/>
              <w:left w:color="000000" w:space="0" w:sz="5" w:val="single"/>
              <w:bottom w:color="000000" w:space="0" w:sz="5" w:val="single"/>
              <w:right w:color="000000" w:space="0" w:sz="5" w:val="single"/>
            </w:tcBorders>
            <w:tcMar>
              <w:top w:w="0.0" w:type="dxa"/>
              <w:left w:w="40.0" w:type="dxa"/>
              <w:bottom w:w="0.0" w:type="dxa"/>
              <w:right w:w="40.0" w:type="dxa"/>
            </w:tcMar>
            <w:vAlign w:val="center"/>
          </w:tcPr>
          <w:p w:rsidR="00000000" w:rsidDel="00000000" w:rsidP="00000000" w:rsidRDefault="00000000" w:rsidRPr="00000000" w14:paraId="00000008">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Visita a La Habana</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Mar>
              <w:top w:w="0.0" w:type="dxa"/>
              <w:left w:w="40.0" w:type="dxa"/>
              <w:bottom w:w="0.0" w:type="dxa"/>
              <w:right w:w="40.0" w:type="dxa"/>
            </w:tcMar>
            <w:vAlign w:val="center"/>
          </w:tcPr>
          <w:p w:rsidR="00000000" w:rsidDel="00000000" w:rsidP="00000000" w:rsidRDefault="00000000" w:rsidRPr="00000000" w14:paraId="00000009">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91</w:t>
            </w:r>
            <w:r w:rsidDel="00000000" w:rsidR="00000000" w:rsidRPr="00000000">
              <w:rPr>
                <w:rtl w:val="0"/>
              </w:rPr>
            </w:r>
          </w:p>
        </w:tc>
        <w:tc>
          <w:tcPr>
            <w:tcBorders>
              <w:top w:color="000000" w:space="0" w:sz="5" w:val="single"/>
              <w:left w:color="cccccc" w:space="0" w:sz="5" w:val="single"/>
              <w:bottom w:color="000000" w:space="0" w:sz="5" w:val="single"/>
              <w:right w:color="000000" w:space="0" w:sz="5" w:val="single"/>
            </w:tcBorders>
            <w:tcMar>
              <w:top w:w="0.0" w:type="dxa"/>
              <w:left w:w="40.0" w:type="dxa"/>
              <w:bottom w:w="0.0" w:type="dxa"/>
              <w:right w:w="40.0" w:type="dxa"/>
            </w:tcMar>
            <w:vAlign w:val="center"/>
          </w:tcPr>
          <w:p w:rsidR="00000000" w:rsidDel="00000000" w:rsidP="00000000" w:rsidRDefault="00000000" w:rsidRPr="00000000" w14:paraId="0000000A">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75</w:t>
            </w:r>
            <w:r w:rsidDel="00000000" w:rsidR="00000000" w:rsidRPr="00000000">
              <w:rPr>
                <w:rtl w:val="0"/>
              </w:rPr>
            </w:r>
          </w:p>
        </w:tc>
        <w:tc>
          <w:tcPr>
            <w:tcBorders>
              <w:top w:color="000000" w:space="0" w:sz="5" w:val="single"/>
              <w:left w:color="cccccc" w:space="0" w:sz="5" w:val="single"/>
              <w:bottom w:color="000000" w:space="0" w:sz="5" w:val="single"/>
              <w:right w:color="000000" w:space="0" w:sz="5" w:val="single"/>
            </w:tcBorders>
            <w:tcMar>
              <w:top w:w="0.0" w:type="dxa"/>
              <w:left w:w="40.0" w:type="dxa"/>
              <w:bottom w:w="0.0" w:type="dxa"/>
              <w:right w:w="40.0" w:type="dxa"/>
            </w:tcMar>
            <w:vAlign w:val="center"/>
          </w:tcPr>
          <w:p w:rsidR="00000000" w:rsidDel="00000000" w:rsidP="00000000" w:rsidRDefault="00000000" w:rsidRPr="00000000" w14:paraId="0000000B">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Lun / Vie</w:t>
            </w:r>
            <w:r w:rsidDel="00000000" w:rsidR="00000000" w:rsidRPr="00000000">
              <w:rPr>
                <w:rtl w:val="0"/>
              </w:rPr>
            </w:r>
          </w:p>
        </w:tc>
      </w:tr>
      <w:tr>
        <w:trPr>
          <w:cantSplit w:val="0"/>
          <w:trHeight w:val="276" w:hRule="atLeast"/>
          <w:tblHeader w:val="0"/>
        </w:trPr>
        <w:tc>
          <w:tcPr>
            <w:tcBorders>
              <w:top w:color="cccccc" w:space="0" w:sz="5" w:val="single"/>
              <w:left w:color="000000" w:space="0" w:sz="5" w:val="single"/>
              <w:bottom w:color="000000" w:space="0" w:sz="5" w:val="single"/>
              <w:right w:color="000000" w:space="0" w:sz="5" w:val="single"/>
            </w:tcBorders>
            <w:tcMar>
              <w:top w:w="0.0" w:type="dxa"/>
              <w:left w:w="40.0" w:type="dxa"/>
              <w:bottom w:w="0.0" w:type="dxa"/>
              <w:right w:w="40.0" w:type="dxa"/>
            </w:tcMar>
            <w:vAlign w:val="center"/>
          </w:tcPr>
          <w:p w:rsidR="00000000" w:rsidDel="00000000" w:rsidP="00000000" w:rsidRDefault="00000000" w:rsidRPr="00000000" w14:paraId="0000000C">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Habana Premium c</w:t>
            </w:r>
            <w:r w:rsidDel="00000000" w:rsidR="00000000" w:rsidRPr="00000000">
              <w:rPr>
                <w:rtl w:val="0"/>
              </w:rPr>
            </w:r>
          </w:p>
        </w:tc>
        <w:tc>
          <w:tcPr>
            <w:tcBorders>
              <w:top w:color="cccccc" w:space="0" w:sz="5" w:val="single"/>
              <w:left w:color="000000" w:space="0" w:sz="5" w:val="single"/>
              <w:bottom w:color="000000" w:space="0" w:sz="5" w:val="single"/>
              <w:right w:color="000000" w:space="0" w:sz="5" w:val="single"/>
            </w:tcBorders>
            <w:tcMar>
              <w:top w:w="0.0" w:type="dxa"/>
              <w:left w:w="40.0" w:type="dxa"/>
              <w:bottom w:w="0.0" w:type="dxa"/>
              <w:right w:w="40.0" w:type="dxa"/>
            </w:tcMar>
            <w:vAlign w:val="center"/>
          </w:tcPr>
          <w:p w:rsidR="00000000" w:rsidDel="00000000" w:rsidP="00000000" w:rsidRDefault="00000000" w:rsidRPr="00000000" w14:paraId="0000000D">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163</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0.0" w:type="dxa"/>
              <w:left w:w="40.0" w:type="dxa"/>
              <w:bottom w:w="0.0" w:type="dxa"/>
              <w:right w:w="40.0" w:type="dxa"/>
            </w:tcMar>
            <w:vAlign w:val="center"/>
          </w:tcPr>
          <w:p w:rsidR="00000000" w:rsidDel="00000000" w:rsidP="00000000" w:rsidRDefault="00000000" w:rsidRPr="00000000" w14:paraId="0000000E">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123</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0.0" w:type="dxa"/>
              <w:left w:w="40.0" w:type="dxa"/>
              <w:bottom w:w="0.0" w:type="dxa"/>
              <w:right w:w="40.0" w:type="dxa"/>
            </w:tcMar>
            <w:vAlign w:val="center"/>
          </w:tcPr>
          <w:p w:rsidR="00000000" w:rsidDel="00000000" w:rsidP="00000000" w:rsidRDefault="00000000" w:rsidRPr="00000000" w14:paraId="0000000F">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Jue / Sab</w:t>
            </w:r>
            <w:r w:rsidDel="00000000" w:rsidR="00000000" w:rsidRPr="00000000">
              <w:rPr>
                <w:rtl w:val="0"/>
              </w:rPr>
            </w:r>
          </w:p>
        </w:tc>
      </w:tr>
      <w:tr>
        <w:trPr>
          <w:cantSplit w:val="0"/>
          <w:trHeight w:val="276" w:hRule="atLeast"/>
          <w:tblHeader w:val="0"/>
        </w:trPr>
        <w:tc>
          <w:tcPr>
            <w:tcBorders>
              <w:top w:color="cccccc" w:space="0" w:sz="5" w:val="single"/>
              <w:left w:color="000000" w:space="0" w:sz="5" w:val="single"/>
              <w:bottom w:color="000000" w:space="0" w:sz="5" w:val="single"/>
              <w:right w:color="000000" w:space="0" w:sz="5" w:val="single"/>
            </w:tcBorders>
            <w:tcMar>
              <w:top w:w="0.0" w:type="dxa"/>
              <w:left w:w="40.0" w:type="dxa"/>
              <w:bottom w:w="0.0" w:type="dxa"/>
              <w:right w:w="40.0" w:type="dxa"/>
            </w:tcMar>
            <w:vAlign w:val="center"/>
          </w:tcPr>
          <w:p w:rsidR="00000000" w:rsidDel="00000000" w:rsidP="00000000" w:rsidRDefault="00000000" w:rsidRPr="00000000" w14:paraId="00000010">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Jeep Safari - 2026</w:t>
            </w:r>
            <w:r w:rsidDel="00000000" w:rsidR="00000000" w:rsidRPr="00000000">
              <w:rPr>
                <w:rtl w:val="0"/>
              </w:rPr>
            </w:r>
          </w:p>
        </w:tc>
        <w:tc>
          <w:tcPr>
            <w:tcBorders>
              <w:top w:color="cccccc" w:space="0" w:sz="5" w:val="single"/>
              <w:left w:color="000000" w:space="0" w:sz="5" w:val="single"/>
              <w:bottom w:color="000000" w:space="0" w:sz="5" w:val="single"/>
              <w:right w:color="000000" w:space="0" w:sz="5" w:val="single"/>
            </w:tcBorders>
            <w:tcMar>
              <w:top w:w="0.0" w:type="dxa"/>
              <w:left w:w="40.0" w:type="dxa"/>
              <w:bottom w:w="0.0" w:type="dxa"/>
              <w:right w:w="40.0" w:type="dxa"/>
            </w:tcMar>
            <w:vAlign w:val="center"/>
          </w:tcPr>
          <w:p w:rsidR="00000000" w:rsidDel="00000000" w:rsidP="00000000" w:rsidRDefault="00000000" w:rsidRPr="00000000" w14:paraId="00000011">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120</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0.0" w:type="dxa"/>
              <w:left w:w="40.0" w:type="dxa"/>
              <w:bottom w:w="0.0" w:type="dxa"/>
              <w:right w:w="40.0" w:type="dxa"/>
            </w:tcMar>
            <w:vAlign w:val="center"/>
          </w:tcPr>
          <w:p w:rsidR="00000000" w:rsidDel="00000000" w:rsidP="00000000" w:rsidRDefault="00000000" w:rsidRPr="00000000" w14:paraId="00000012">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91</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0.0" w:type="dxa"/>
              <w:left w:w="40.0" w:type="dxa"/>
              <w:bottom w:w="0.0" w:type="dxa"/>
              <w:right w:w="40.0" w:type="dxa"/>
            </w:tcMar>
            <w:vAlign w:val="center"/>
          </w:tcPr>
          <w:p w:rsidR="00000000" w:rsidDel="00000000" w:rsidP="00000000" w:rsidRDefault="00000000" w:rsidRPr="00000000" w14:paraId="00000013">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Lun a Dom</w:t>
            </w:r>
            <w:r w:rsidDel="00000000" w:rsidR="00000000" w:rsidRPr="00000000">
              <w:rPr>
                <w:rtl w:val="0"/>
              </w:rPr>
            </w:r>
          </w:p>
        </w:tc>
      </w:tr>
      <w:tr>
        <w:trPr>
          <w:cantSplit w:val="0"/>
          <w:trHeight w:val="276" w:hRule="atLeast"/>
          <w:tblHeader w:val="0"/>
        </w:trPr>
        <w:tc>
          <w:tcPr>
            <w:tcBorders>
              <w:top w:color="cccccc" w:space="0" w:sz="5" w:val="single"/>
              <w:left w:color="000000" w:space="0" w:sz="5" w:val="single"/>
              <w:bottom w:color="000000" w:space="0" w:sz="5" w:val="single"/>
              <w:right w:color="000000" w:space="0" w:sz="5" w:val="single"/>
            </w:tcBorders>
            <w:tcMar>
              <w:top w:w="0.0" w:type="dxa"/>
              <w:left w:w="40.0" w:type="dxa"/>
              <w:bottom w:w="0.0" w:type="dxa"/>
              <w:right w:w="40.0" w:type="dxa"/>
            </w:tcMar>
            <w:vAlign w:val="center"/>
          </w:tcPr>
          <w:p w:rsidR="00000000" w:rsidDel="00000000" w:rsidP="00000000" w:rsidRDefault="00000000" w:rsidRPr="00000000" w14:paraId="00000014">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Varadero Experience (Minimo 2 pax)</w:t>
            </w:r>
            <w:r w:rsidDel="00000000" w:rsidR="00000000" w:rsidRPr="00000000">
              <w:rPr>
                <w:rtl w:val="0"/>
              </w:rPr>
            </w:r>
          </w:p>
        </w:tc>
        <w:tc>
          <w:tcPr>
            <w:tcBorders>
              <w:top w:color="cccccc" w:space="0" w:sz="5" w:val="single"/>
              <w:left w:color="000000" w:space="0" w:sz="5" w:val="single"/>
              <w:bottom w:color="000000" w:space="0" w:sz="5" w:val="single"/>
              <w:right w:color="000000" w:space="0" w:sz="5" w:val="single"/>
            </w:tcBorders>
            <w:tcMar>
              <w:top w:w="0.0" w:type="dxa"/>
              <w:left w:w="40.0" w:type="dxa"/>
              <w:bottom w:w="0.0" w:type="dxa"/>
              <w:right w:w="40.0" w:type="dxa"/>
            </w:tcMar>
            <w:vAlign w:val="center"/>
          </w:tcPr>
          <w:p w:rsidR="00000000" w:rsidDel="00000000" w:rsidP="00000000" w:rsidRDefault="00000000" w:rsidRPr="00000000" w14:paraId="00000015">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101</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0.0" w:type="dxa"/>
              <w:left w:w="40.0" w:type="dxa"/>
              <w:bottom w:w="0.0" w:type="dxa"/>
              <w:right w:w="40.0" w:type="dxa"/>
            </w:tcMar>
            <w:vAlign w:val="center"/>
          </w:tcPr>
          <w:p w:rsidR="00000000" w:rsidDel="00000000" w:rsidP="00000000" w:rsidRDefault="00000000" w:rsidRPr="00000000" w14:paraId="00000016">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0.0" w:type="dxa"/>
              <w:left w:w="40.0" w:type="dxa"/>
              <w:bottom w:w="0.0" w:type="dxa"/>
              <w:right w:w="40.0" w:type="dxa"/>
            </w:tcMar>
            <w:vAlign w:val="center"/>
          </w:tcPr>
          <w:p w:rsidR="00000000" w:rsidDel="00000000" w:rsidP="00000000" w:rsidRDefault="00000000" w:rsidRPr="00000000" w14:paraId="00000017">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Lun a Dom</w:t>
            </w:r>
            <w:r w:rsidDel="00000000" w:rsidR="00000000" w:rsidRPr="00000000">
              <w:rPr>
                <w:rtl w:val="0"/>
              </w:rPr>
            </w:r>
          </w:p>
        </w:tc>
      </w:tr>
      <w:tr>
        <w:trPr>
          <w:cantSplit w:val="0"/>
          <w:trHeight w:val="276" w:hRule="atLeast"/>
          <w:tblHeader w:val="0"/>
        </w:trPr>
        <w:tc>
          <w:tcPr>
            <w:tcBorders>
              <w:top w:color="cccccc" w:space="0" w:sz="5" w:val="single"/>
              <w:left w:color="000000" w:space="0" w:sz="5" w:val="single"/>
              <w:bottom w:color="000000" w:space="0" w:sz="5" w:val="single"/>
              <w:right w:color="000000" w:space="0" w:sz="5" w:val="single"/>
            </w:tcBorders>
            <w:tcMar>
              <w:top w:w="0.0" w:type="dxa"/>
              <w:left w:w="40.0" w:type="dxa"/>
              <w:bottom w:w="0.0" w:type="dxa"/>
              <w:right w:w="40.0" w:type="dxa"/>
            </w:tcMar>
            <w:vAlign w:val="center"/>
          </w:tcPr>
          <w:p w:rsidR="00000000" w:rsidDel="00000000" w:rsidP="00000000" w:rsidRDefault="00000000" w:rsidRPr="00000000" w14:paraId="00000018">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Historia y Sabor en Autos Clásicos (Mínimo 2 pax)</w:t>
            </w:r>
            <w:r w:rsidDel="00000000" w:rsidR="00000000" w:rsidRPr="00000000">
              <w:rPr>
                <w:rtl w:val="0"/>
              </w:rPr>
            </w:r>
          </w:p>
        </w:tc>
        <w:tc>
          <w:tcPr>
            <w:tcBorders>
              <w:top w:color="cccccc" w:space="0" w:sz="5" w:val="single"/>
              <w:left w:color="000000" w:space="0" w:sz="5" w:val="single"/>
              <w:bottom w:color="000000" w:space="0" w:sz="5" w:val="single"/>
              <w:right w:color="000000" w:space="0" w:sz="5" w:val="single"/>
            </w:tcBorders>
            <w:tcMar>
              <w:top w:w="0.0" w:type="dxa"/>
              <w:left w:w="40.0" w:type="dxa"/>
              <w:bottom w:w="0.0" w:type="dxa"/>
              <w:right w:w="40.0" w:type="dxa"/>
            </w:tcMar>
            <w:vAlign w:val="center"/>
          </w:tcPr>
          <w:p w:rsidR="00000000" w:rsidDel="00000000" w:rsidP="00000000" w:rsidRDefault="00000000" w:rsidRPr="00000000" w14:paraId="00000019">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95</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0.0" w:type="dxa"/>
              <w:left w:w="40.0" w:type="dxa"/>
              <w:bottom w:w="0.0" w:type="dxa"/>
              <w:right w:w="40.0" w:type="dxa"/>
            </w:tcMar>
            <w:vAlign w:val="center"/>
          </w:tcPr>
          <w:p w:rsidR="00000000" w:rsidDel="00000000" w:rsidP="00000000" w:rsidRDefault="00000000" w:rsidRPr="00000000" w14:paraId="0000001A">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73</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0.0" w:type="dxa"/>
              <w:left w:w="40.0" w:type="dxa"/>
              <w:bottom w:w="0.0" w:type="dxa"/>
              <w:right w:w="40.0" w:type="dxa"/>
            </w:tcMar>
            <w:vAlign w:val="center"/>
          </w:tcPr>
          <w:p w:rsidR="00000000" w:rsidDel="00000000" w:rsidP="00000000" w:rsidRDefault="00000000" w:rsidRPr="00000000" w14:paraId="0000001B">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Lun a Sab</w:t>
            </w:r>
            <w:r w:rsidDel="00000000" w:rsidR="00000000" w:rsidRPr="00000000">
              <w:rPr>
                <w:rtl w:val="0"/>
              </w:rPr>
            </w:r>
          </w:p>
        </w:tc>
      </w:tr>
      <w:tr>
        <w:trPr>
          <w:cantSplit w:val="0"/>
          <w:trHeight w:val="276" w:hRule="atLeast"/>
          <w:tblHeader w:val="0"/>
        </w:trPr>
        <w:tc>
          <w:tcPr>
            <w:tcBorders>
              <w:top w:color="cccccc" w:space="0" w:sz="5" w:val="single"/>
              <w:left w:color="000000" w:space="0" w:sz="5" w:val="single"/>
              <w:bottom w:color="000000" w:space="0" w:sz="5" w:val="single"/>
              <w:right w:color="000000" w:space="0" w:sz="5" w:val="single"/>
            </w:tcBorders>
            <w:tcMar>
              <w:top w:w="0.0" w:type="dxa"/>
              <w:left w:w="40.0" w:type="dxa"/>
              <w:bottom w:w="0.0" w:type="dxa"/>
              <w:right w:w="40.0" w:type="dxa"/>
            </w:tcMar>
            <w:vAlign w:val="center"/>
          </w:tcPr>
          <w:p w:rsidR="00000000" w:rsidDel="00000000" w:rsidP="00000000" w:rsidRDefault="00000000" w:rsidRPr="00000000" w14:paraId="0000001C">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Seafary a Cayo Blanco (Marina Marlin)</w:t>
            </w:r>
            <w:r w:rsidDel="00000000" w:rsidR="00000000" w:rsidRPr="00000000">
              <w:rPr>
                <w:rtl w:val="0"/>
              </w:rPr>
            </w:r>
          </w:p>
        </w:tc>
        <w:tc>
          <w:tcPr>
            <w:tcBorders>
              <w:top w:color="cccccc" w:space="0" w:sz="5" w:val="single"/>
              <w:left w:color="000000" w:space="0" w:sz="5" w:val="single"/>
              <w:bottom w:color="000000" w:space="0" w:sz="5" w:val="single"/>
              <w:right w:color="000000" w:space="0" w:sz="5" w:val="single"/>
            </w:tcBorders>
            <w:tcMar>
              <w:top w:w="0.0" w:type="dxa"/>
              <w:left w:w="40.0" w:type="dxa"/>
              <w:bottom w:w="0.0" w:type="dxa"/>
              <w:right w:w="40.0" w:type="dxa"/>
            </w:tcMar>
            <w:vAlign w:val="center"/>
          </w:tcPr>
          <w:p w:rsidR="00000000" w:rsidDel="00000000" w:rsidP="00000000" w:rsidRDefault="00000000" w:rsidRPr="00000000" w14:paraId="0000001D">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97</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0.0" w:type="dxa"/>
              <w:left w:w="40.0" w:type="dxa"/>
              <w:bottom w:w="0.0" w:type="dxa"/>
              <w:right w:w="40.0" w:type="dxa"/>
            </w:tcMar>
            <w:vAlign w:val="center"/>
          </w:tcPr>
          <w:p w:rsidR="00000000" w:rsidDel="00000000" w:rsidP="00000000" w:rsidRDefault="00000000" w:rsidRPr="00000000" w14:paraId="0000001E">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46</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0.0" w:type="dxa"/>
              <w:left w:w="40.0" w:type="dxa"/>
              <w:bottom w:w="0.0" w:type="dxa"/>
              <w:right w:w="40.0" w:type="dxa"/>
            </w:tcMar>
            <w:vAlign w:val="center"/>
          </w:tcPr>
          <w:p w:rsidR="00000000" w:rsidDel="00000000" w:rsidP="00000000" w:rsidRDefault="00000000" w:rsidRPr="00000000" w14:paraId="0000001F">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Lun a Dom</w:t>
            </w:r>
            <w:r w:rsidDel="00000000" w:rsidR="00000000" w:rsidRPr="00000000">
              <w:rPr>
                <w:rtl w:val="0"/>
              </w:rPr>
            </w:r>
          </w:p>
        </w:tc>
      </w:tr>
      <w:tr>
        <w:trPr>
          <w:cantSplit w:val="0"/>
          <w:trHeight w:val="276" w:hRule="atLeast"/>
          <w:tblHeader w:val="0"/>
        </w:trPr>
        <w:tc>
          <w:tcPr>
            <w:tcBorders>
              <w:top w:color="000000" w:space="0" w:sz="5" w:val="single"/>
              <w:left w:color="000000" w:space="0" w:sz="5" w:val="single"/>
              <w:bottom w:color="000000" w:space="0" w:sz="5" w:val="single"/>
              <w:right w:color="000000" w:space="0" w:sz="5" w:val="single"/>
            </w:tcBorders>
            <w:tcMar>
              <w:top w:w="0.0" w:type="dxa"/>
              <w:left w:w="40.0" w:type="dxa"/>
              <w:bottom w:w="0.0" w:type="dxa"/>
              <w:right w:w="40.0" w:type="dxa"/>
            </w:tcMar>
            <w:vAlign w:val="center"/>
          </w:tcPr>
          <w:p w:rsidR="00000000" w:rsidDel="00000000" w:rsidP="00000000" w:rsidRDefault="00000000" w:rsidRPr="00000000" w14:paraId="00000020">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Visita a La Habana</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Mar>
              <w:top w:w="0.0" w:type="dxa"/>
              <w:left w:w="40.0" w:type="dxa"/>
              <w:bottom w:w="0.0" w:type="dxa"/>
              <w:right w:w="40.0" w:type="dxa"/>
            </w:tcMar>
            <w:vAlign w:val="center"/>
          </w:tcPr>
          <w:p w:rsidR="00000000" w:rsidDel="00000000" w:rsidP="00000000" w:rsidRDefault="00000000" w:rsidRPr="00000000" w14:paraId="00000021">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91</w:t>
            </w:r>
            <w:r w:rsidDel="00000000" w:rsidR="00000000" w:rsidRPr="00000000">
              <w:rPr>
                <w:rtl w:val="0"/>
              </w:rPr>
            </w:r>
          </w:p>
        </w:tc>
        <w:tc>
          <w:tcPr>
            <w:tcBorders>
              <w:top w:color="000000" w:space="0" w:sz="5" w:val="single"/>
              <w:left w:color="cccccc" w:space="0" w:sz="5" w:val="single"/>
              <w:bottom w:color="000000" w:space="0" w:sz="5" w:val="single"/>
              <w:right w:color="000000" w:space="0" w:sz="5" w:val="single"/>
            </w:tcBorders>
            <w:tcMar>
              <w:top w:w="0.0" w:type="dxa"/>
              <w:left w:w="40.0" w:type="dxa"/>
              <w:bottom w:w="0.0" w:type="dxa"/>
              <w:right w:w="40.0" w:type="dxa"/>
            </w:tcMar>
            <w:vAlign w:val="center"/>
          </w:tcPr>
          <w:p w:rsidR="00000000" w:rsidDel="00000000" w:rsidP="00000000" w:rsidRDefault="00000000" w:rsidRPr="00000000" w14:paraId="00000022">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75</w:t>
            </w:r>
            <w:r w:rsidDel="00000000" w:rsidR="00000000" w:rsidRPr="00000000">
              <w:rPr>
                <w:rtl w:val="0"/>
              </w:rPr>
            </w:r>
          </w:p>
        </w:tc>
        <w:tc>
          <w:tcPr>
            <w:tcBorders>
              <w:top w:color="000000" w:space="0" w:sz="5" w:val="single"/>
              <w:left w:color="cccccc" w:space="0" w:sz="5" w:val="single"/>
              <w:bottom w:color="000000" w:space="0" w:sz="5" w:val="single"/>
              <w:right w:color="000000" w:space="0" w:sz="5" w:val="single"/>
            </w:tcBorders>
            <w:tcMar>
              <w:top w:w="0.0" w:type="dxa"/>
              <w:left w:w="40.0" w:type="dxa"/>
              <w:bottom w:w="0.0" w:type="dxa"/>
              <w:right w:w="40.0" w:type="dxa"/>
            </w:tcMar>
            <w:vAlign w:val="center"/>
          </w:tcPr>
          <w:p w:rsidR="00000000" w:rsidDel="00000000" w:rsidP="00000000" w:rsidRDefault="00000000" w:rsidRPr="00000000" w14:paraId="00000023">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Lun / Vie</w:t>
            </w:r>
            <w:r w:rsidDel="00000000" w:rsidR="00000000" w:rsidRPr="00000000">
              <w:rPr>
                <w:rtl w:val="0"/>
              </w:rPr>
            </w:r>
          </w:p>
        </w:tc>
      </w:tr>
      <w:tr>
        <w:trPr>
          <w:cantSplit w:val="0"/>
          <w:trHeight w:val="288" w:hRule="atLeast"/>
          <w:tblHeader w:val="0"/>
        </w:trPr>
        <w:tc>
          <w:tcPr>
            <w:tcBorders>
              <w:top w:color="cccccc" w:space="0" w:sz="5" w:val="single"/>
              <w:left w:color="000000" w:space="0" w:sz="5" w:val="single"/>
              <w:bottom w:color="000000" w:space="0" w:sz="5" w:val="single"/>
              <w:right w:color="000000" w:space="0" w:sz="5" w:val="single"/>
            </w:tcBorders>
            <w:tcMar>
              <w:top w:w="0.0" w:type="dxa"/>
              <w:left w:w="40.0" w:type="dxa"/>
              <w:bottom w:w="0.0" w:type="dxa"/>
              <w:right w:w="40.0" w:type="dxa"/>
            </w:tcMar>
            <w:vAlign w:val="center"/>
          </w:tcPr>
          <w:p w:rsidR="00000000" w:rsidDel="00000000" w:rsidP="00000000" w:rsidRDefault="00000000" w:rsidRPr="00000000" w14:paraId="00000024">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Habana Premium c</w:t>
            </w:r>
            <w:r w:rsidDel="00000000" w:rsidR="00000000" w:rsidRPr="00000000">
              <w:rPr>
                <w:rtl w:val="0"/>
              </w:rPr>
            </w:r>
          </w:p>
        </w:tc>
        <w:tc>
          <w:tcPr>
            <w:tcBorders>
              <w:top w:color="cccccc" w:space="0" w:sz="5" w:val="single"/>
              <w:left w:color="000000" w:space="0" w:sz="5" w:val="single"/>
              <w:bottom w:color="000000" w:space="0" w:sz="5" w:val="single"/>
              <w:right w:color="000000" w:space="0" w:sz="5" w:val="single"/>
            </w:tcBorders>
            <w:tcMar>
              <w:top w:w="0.0" w:type="dxa"/>
              <w:left w:w="40.0" w:type="dxa"/>
              <w:bottom w:w="0.0" w:type="dxa"/>
              <w:right w:w="40.0" w:type="dxa"/>
            </w:tcMar>
            <w:vAlign w:val="center"/>
          </w:tcPr>
          <w:p w:rsidR="00000000" w:rsidDel="00000000" w:rsidP="00000000" w:rsidRDefault="00000000" w:rsidRPr="00000000" w14:paraId="00000025">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163</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0.0" w:type="dxa"/>
              <w:left w:w="40.0" w:type="dxa"/>
              <w:bottom w:w="0.0" w:type="dxa"/>
              <w:right w:w="40.0" w:type="dxa"/>
            </w:tcMar>
            <w:vAlign w:val="center"/>
          </w:tcPr>
          <w:p w:rsidR="00000000" w:rsidDel="00000000" w:rsidP="00000000" w:rsidRDefault="00000000" w:rsidRPr="00000000" w14:paraId="00000026">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123</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0.0" w:type="dxa"/>
              <w:left w:w="40.0" w:type="dxa"/>
              <w:bottom w:w="0.0" w:type="dxa"/>
              <w:right w:w="40.0" w:type="dxa"/>
            </w:tcMar>
            <w:vAlign w:val="center"/>
          </w:tcPr>
          <w:p w:rsidR="00000000" w:rsidDel="00000000" w:rsidP="00000000" w:rsidRDefault="00000000" w:rsidRPr="00000000" w14:paraId="00000027">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Jue / Sab</w:t>
            </w:r>
            <w:r w:rsidDel="00000000" w:rsidR="00000000" w:rsidRPr="00000000">
              <w:rPr>
                <w:rtl w:val="0"/>
              </w:rPr>
            </w:r>
          </w:p>
        </w:tc>
      </w:tr>
      <w:tr>
        <w:trPr>
          <w:cantSplit w:val="0"/>
          <w:trHeight w:val="288" w:hRule="atLeast"/>
          <w:tblHeader w:val="0"/>
        </w:trPr>
        <w:tc>
          <w:tcPr>
            <w:tcBorders>
              <w:top w:color="cccccc" w:space="0" w:sz="5" w:val="single"/>
              <w:left w:color="000000" w:space="0" w:sz="5" w:val="single"/>
              <w:bottom w:color="000000" w:space="0" w:sz="5" w:val="single"/>
              <w:right w:color="000000" w:space="0" w:sz="5" w:val="single"/>
            </w:tcBorders>
            <w:tcMar>
              <w:top w:w="0.0" w:type="dxa"/>
              <w:left w:w="40.0" w:type="dxa"/>
              <w:bottom w:w="0.0" w:type="dxa"/>
              <w:right w:w="40.0" w:type="dxa"/>
            </w:tcMar>
            <w:vAlign w:val="center"/>
          </w:tcPr>
          <w:p w:rsidR="00000000" w:rsidDel="00000000" w:rsidP="00000000" w:rsidRDefault="00000000" w:rsidRPr="00000000" w14:paraId="00000028">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Jeep Safari - 2026</w:t>
            </w:r>
            <w:r w:rsidDel="00000000" w:rsidR="00000000" w:rsidRPr="00000000">
              <w:rPr>
                <w:rtl w:val="0"/>
              </w:rPr>
            </w:r>
          </w:p>
        </w:tc>
        <w:tc>
          <w:tcPr>
            <w:tcBorders>
              <w:top w:color="cccccc" w:space="0" w:sz="5" w:val="single"/>
              <w:left w:color="000000" w:space="0" w:sz="5" w:val="single"/>
              <w:bottom w:color="000000" w:space="0" w:sz="5" w:val="single"/>
              <w:right w:color="000000" w:space="0" w:sz="5" w:val="single"/>
            </w:tcBorders>
            <w:tcMar>
              <w:top w:w="0.0" w:type="dxa"/>
              <w:left w:w="40.0" w:type="dxa"/>
              <w:bottom w:w="0.0" w:type="dxa"/>
              <w:right w:w="40.0" w:type="dxa"/>
            </w:tcMar>
            <w:vAlign w:val="center"/>
          </w:tcPr>
          <w:p w:rsidR="00000000" w:rsidDel="00000000" w:rsidP="00000000" w:rsidRDefault="00000000" w:rsidRPr="00000000" w14:paraId="00000029">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120</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0.0" w:type="dxa"/>
              <w:left w:w="40.0" w:type="dxa"/>
              <w:bottom w:w="0.0" w:type="dxa"/>
              <w:right w:w="40.0" w:type="dxa"/>
            </w:tcMar>
            <w:vAlign w:val="center"/>
          </w:tcPr>
          <w:p w:rsidR="00000000" w:rsidDel="00000000" w:rsidP="00000000" w:rsidRDefault="00000000" w:rsidRPr="00000000" w14:paraId="0000002A">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91</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0.0" w:type="dxa"/>
              <w:left w:w="40.0" w:type="dxa"/>
              <w:bottom w:w="0.0" w:type="dxa"/>
              <w:right w:w="40.0" w:type="dxa"/>
            </w:tcMar>
            <w:vAlign w:val="center"/>
          </w:tcPr>
          <w:p w:rsidR="00000000" w:rsidDel="00000000" w:rsidP="00000000" w:rsidRDefault="00000000" w:rsidRPr="00000000" w14:paraId="0000002B">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Lun a Dom</w:t>
            </w:r>
            <w:r w:rsidDel="00000000" w:rsidR="00000000" w:rsidRPr="00000000">
              <w:rPr>
                <w:rtl w:val="0"/>
              </w:rPr>
            </w:r>
          </w:p>
        </w:tc>
      </w:tr>
    </w:tbl>
    <w:p w:rsidR="00000000" w:rsidDel="00000000" w:rsidP="00000000" w:rsidRDefault="00000000" w:rsidRPr="00000000" w14:paraId="0000002C">
      <w:pPr>
        <w:spacing w:after="200" w:line="276" w:lineRule="auto"/>
        <w:rPr>
          <w:rFonts w:ascii="Arial" w:cs="Arial" w:eastAsia="Arial" w:hAnsi="Arial"/>
          <w:b w:val="1"/>
          <w:bCs w:val="1"/>
          <w:i w:val="1"/>
          <w:iCs w:val="1"/>
          <w:sz w:val="20"/>
          <w:szCs w:val="20"/>
        </w:rPr>
      </w:pPr>
      <w:r w:rsidDel="00000000" w:rsidR="00000000" w:rsidRPr="00000000">
        <w:rPr>
          <w:rtl w:val="0"/>
        </w:rPr>
      </w:r>
    </w:p>
    <w:p w:rsidR="00000000" w:rsidDel="00000000" w:rsidP="00000000" w:rsidRDefault="00000000" w:rsidRPr="00000000" w14:paraId="0000002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Tour Opcionales son 10% Comisionable</w:t>
      </w:r>
    </w:p>
    <w:p w:rsidR="00000000" w:rsidDel="00000000" w:rsidP="00000000" w:rsidRDefault="00000000" w:rsidRPr="00000000" w14:paraId="0000002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Debido a los múltiples cambios que ocurren diariamente en turismo, estos precios deben de ser confirmados al momento de solicitar la reserva.</w:t>
      </w:r>
    </w:p>
    <w:p w:rsidR="00000000" w:rsidDel="00000000" w:rsidP="00000000" w:rsidRDefault="00000000" w:rsidRPr="00000000" w14:paraId="0000002F">
      <w:pPr>
        <w:rPr>
          <w:rFonts w:ascii="Arial" w:cs="Arial" w:eastAsia="Arial" w:hAnsi="Arial"/>
          <w:b w:val="1"/>
          <w:bCs w:val="1"/>
          <w:i w:val="1"/>
          <w:iCs w:val="1"/>
          <w:sz w:val="20"/>
          <w:szCs w:val="20"/>
        </w:rPr>
      </w:pPr>
      <w:r w:rsidDel="00000000" w:rsidR="00000000" w:rsidRPr="00000000">
        <w:rPr>
          <w:rtl w:val="0"/>
        </w:rPr>
      </w:r>
    </w:p>
    <w:p w:rsidR="00000000" w:rsidDel="00000000" w:rsidP="00000000" w:rsidRDefault="00000000" w:rsidRPr="00000000" w14:paraId="00000030">
      <w:pPr>
        <w:rPr>
          <w:rFonts w:ascii="Arial" w:cs="Arial" w:eastAsia="Arial" w:hAnsi="Arial"/>
          <w:b w:val="1"/>
          <w:bCs w:val="1"/>
          <w:i w:val="1"/>
          <w:iCs w:val="1"/>
          <w:sz w:val="20"/>
          <w:szCs w:val="20"/>
        </w:rPr>
      </w:pPr>
      <w:r w:rsidDel="00000000" w:rsidR="00000000" w:rsidRPr="00000000">
        <w:rPr>
          <w:rtl w:val="0"/>
        </w:rPr>
      </w:r>
    </w:p>
    <w:p w:rsidR="00000000" w:rsidDel="00000000" w:rsidP="00000000" w:rsidRDefault="00000000" w:rsidRPr="00000000" w14:paraId="00000031">
      <w:pPr>
        <w:spacing w:after="200" w:line="276" w:lineRule="auto"/>
        <w:rPr>
          <w:rFonts w:ascii="Arial" w:cs="Arial" w:eastAsia="Arial" w:hAnsi="Arial"/>
          <w:b w:val="1"/>
          <w:bCs w:val="1"/>
          <w:i w:val="1"/>
          <w:iCs w:val="1"/>
          <w:sz w:val="20"/>
          <w:szCs w:val="20"/>
        </w:rPr>
      </w:pPr>
      <w:r w:rsidDel="00000000" w:rsidR="00000000" w:rsidRPr="00000000">
        <w:br w:type="page"/>
      </w:r>
      <w:r w:rsidDel="00000000" w:rsidR="00000000" w:rsidRPr="00000000">
        <w:rPr>
          <w:rtl w:val="0"/>
        </w:rPr>
      </w:r>
    </w:p>
    <w:p w:rsidR="00000000" w:rsidDel="00000000" w:rsidP="00000000" w:rsidRDefault="00000000" w:rsidRPr="00000000" w14:paraId="00000032">
      <w:pPr>
        <w:jc w:val="both"/>
        <w:rPr>
          <w:rFonts w:ascii="Calibri" w:cs="Calibri" w:eastAsia="Calibri" w:hAnsi="Calibri"/>
          <w:color w:val="000000"/>
          <w:sz w:val="18"/>
          <w:szCs w:val="18"/>
        </w:rPr>
      </w:pPr>
      <w:r w:rsidDel="00000000" w:rsidR="00000000" w:rsidRPr="00000000">
        <w:rPr>
          <w:rFonts w:ascii="Calibri" w:cs="Calibri" w:eastAsia="Calibri" w:hAnsi="Calibri"/>
          <w:b w:val="1"/>
          <w:bCs w:val="1"/>
          <w:sz w:val="18"/>
          <w:szCs w:val="18"/>
          <w:rtl w:val="0"/>
        </w:rPr>
        <w:t xml:space="preserve">VISITA A LA HABANA:</w:t>
      </w:r>
      <w:r w:rsidDel="00000000" w:rsidR="00000000" w:rsidRPr="00000000">
        <w:rPr>
          <w:rFonts w:ascii="Calibri" w:cs="Calibri" w:eastAsia="Calibri" w:hAnsi="Calibri"/>
          <w:sz w:val="18"/>
          <w:szCs w:val="18"/>
          <w:rtl w:val="0"/>
        </w:rPr>
        <w:t xml:space="preserve"> </w:t>
      </w:r>
      <w:r w:rsidDel="00000000" w:rsidR="00000000" w:rsidRPr="00000000">
        <w:rPr>
          <w:rFonts w:ascii="Calibri" w:cs="Calibri" w:eastAsia="Calibri" w:hAnsi="Calibri"/>
          <w:sz w:val="18"/>
          <w:szCs w:val="18"/>
          <w:rtl w:val="0"/>
        </w:rPr>
        <w:t xml:space="preserve">Recogida en los hoteles. Parada en tránsito 15 minutos. Visita a lugares de interés histórico - cultural. Recorrido por Habana Vieja: Plaza de la Catedral, Plaza de Armas, Plaza Vieja, Plaza San Francisco de Asís. Almuerzo en un restaurante de la ciudad. Recorrido panorámico por la Habana Moderna. Visita a la Plaza de la Revolución. Tiempo Libre. Regreso a Varadero</w:t>
      </w:r>
      <w:r w:rsidDel="00000000" w:rsidR="00000000" w:rsidRPr="00000000">
        <w:rPr>
          <w:rFonts w:ascii="Calibri" w:cs="Calibri" w:eastAsia="Calibri" w:hAnsi="Calibri"/>
          <w:sz w:val="18"/>
          <w:szCs w:val="18"/>
          <w:rtl w:val="0"/>
        </w:rPr>
        <w:t xml:space="preserve"> </w:t>
      </w:r>
      <w:r w:rsidDel="00000000" w:rsidR="00000000" w:rsidRPr="00000000">
        <w:rPr>
          <w:rtl w:val="0"/>
        </w:rPr>
      </w:r>
    </w:p>
    <w:p w:rsidR="00000000" w:rsidDel="00000000" w:rsidP="00000000" w:rsidRDefault="00000000" w:rsidRPr="00000000" w14:paraId="00000033">
      <w:pPr>
        <w:jc w:val="both"/>
        <w:rPr>
          <w:rFonts w:ascii="Calibri" w:cs="Calibri" w:eastAsia="Calibri" w:hAnsi="Calibri"/>
          <w:color w:val="000000"/>
          <w:sz w:val="18"/>
          <w:szCs w:val="18"/>
        </w:rPr>
      </w:pPr>
      <w:r w:rsidDel="00000000" w:rsidR="00000000" w:rsidRPr="00000000">
        <w:rPr>
          <w:rtl w:val="0"/>
        </w:rPr>
      </w:r>
    </w:p>
    <w:p w:rsidR="00000000" w:rsidDel="00000000" w:rsidP="00000000" w:rsidRDefault="00000000" w:rsidRPr="00000000" w14:paraId="00000034">
      <w:pPr>
        <w:keepLines w:val="1"/>
        <w:jc w:val="both"/>
        <w:rPr>
          <w:rFonts w:ascii="Calibri" w:cs="Calibri" w:eastAsia="Calibri" w:hAnsi="Calibri"/>
          <w:sz w:val="18"/>
          <w:szCs w:val="18"/>
        </w:rPr>
      </w:pPr>
      <w:r w:rsidDel="00000000" w:rsidR="00000000" w:rsidRPr="00000000">
        <w:rPr>
          <w:rFonts w:ascii="Calibri" w:cs="Calibri" w:eastAsia="Calibri" w:hAnsi="Calibri"/>
          <w:b w:val="1"/>
          <w:bCs w:val="1"/>
          <w:sz w:val="18"/>
          <w:szCs w:val="18"/>
          <w:rtl w:val="0"/>
        </w:rPr>
        <w:t xml:space="preserve">HABANA</w:t>
      </w:r>
      <w:r w:rsidDel="00000000" w:rsidR="00000000" w:rsidRPr="00000000">
        <w:rPr>
          <w:rFonts w:ascii="Calibri" w:cs="Calibri" w:eastAsia="Calibri" w:hAnsi="Calibri"/>
          <w:b w:val="1"/>
          <w:bCs w:val="1"/>
          <w:color w:val="000000"/>
          <w:sz w:val="18"/>
          <w:szCs w:val="18"/>
          <w:rtl w:val="0"/>
        </w:rPr>
        <w:t xml:space="preserve"> PREMIUM</w:t>
      </w:r>
      <w:r w:rsidDel="00000000" w:rsidR="00000000" w:rsidRPr="00000000">
        <w:rPr>
          <w:rFonts w:ascii="Calibri" w:cs="Calibri" w:eastAsia="Calibri" w:hAnsi="Calibri"/>
          <w:sz w:val="18"/>
          <w:szCs w:val="18"/>
          <w:rtl w:val="0"/>
        </w:rPr>
        <w:t xml:space="preserve">: </w:t>
      </w:r>
      <w:r w:rsidDel="00000000" w:rsidR="00000000" w:rsidRPr="00000000">
        <w:rPr>
          <w:rFonts w:ascii="Calibri" w:cs="Calibri" w:eastAsia="Calibri" w:hAnsi="Calibri"/>
          <w:sz w:val="18"/>
          <w:szCs w:val="18"/>
          <w:rtl w:val="0"/>
        </w:rPr>
        <w:t xml:space="preserve">Recogida en Bus en los hoteles según horario escalonado.</w:t>
      </w:r>
    </w:p>
    <w:p w:rsidR="00000000" w:rsidDel="00000000" w:rsidP="00000000" w:rsidRDefault="00000000" w:rsidRPr="00000000" w14:paraId="00000035">
      <w:pPr>
        <w:keepLines w:val="1"/>
        <w:shd w:fill="ffffff" w:val="clear"/>
        <w:spacing w:after="240" w:lineRule="auto"/>
        <w:jc w:val="both"/>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Visita al Museo de Hemingway en la Finca Vigía, residencia cubana del Premio Nobel de Literatura de 1954 Ernest Hemingway. Visita al restaurante-bar Floridita. Disfrute de coctel (Daiquirí) y almuerzo.</w:t>
      </w:r>
    </w:p>
    <w:p w:rsidR="00000000" w:rsidDel="00000000" w:rsidP="00000000" w:rsidRDefault="00000000" w:rsidRPr="00000000" w14:paraId="00000036">
      <w:pPr>
        <w:keepLines w:val="1"/>
        <w:shd w:fill="ffffff" w:val="clear"/>
        <w:spacing w:after="240" w:lineRule="auto"/>
        <w:jc w:val="both"/>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Paseo en autos clásicos para disfrutar de las principales avenidas con vistas a atractivos locales. Recorrido por el centro histórico de La Habana Vieja. Tiempo libre para el disfrute independiente de la ciudad. Cena en restaurante Bodeguita del Medio. Salida para Complejo Morro Cabaña. Disfrute de la ceremonia del Cañonazo, antigua tradición habanera que señalaba el cierre de las puertas de la desaparecida muralla que rodeaba la ciudad.</w:t>
      </w:r>
    </w:p>
    <w:p w:rsidR="00000000" w:rsidDel="00000000" w:rsidP="00000000" w:rsidRDefault="00000000" w:rsidRPr="00000000" w14:paraId="00000037">
      <w:pPr>
        <w:keepLines w:val="0"/>
        <w:shd w:fill="ffffff" w:val="clear"/>
        <w:spacing w:after="240" w:lineRule="auto"/>
        <w:jc w:val="both"/>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Regreso en bus al Hotel</w:t>
      </w:r>
    </w:p>
    <w:p w:rsidR="00000000" w:rsidDel="00000000" w:rsidP="00000000" w:rsidRDefault="00000000" w:rsidRPr="00000000" w14:paraId="00000038">
      <w:pPr>
        <w:keepLines w:val="0"/>
        <w:shd w:fill="ffffff" w:val="clear"/>
        <w:spacing w:after="240" w:lineRule="auto"/>
        <w:jc w:val="both"/>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Sugerimos llevar: zapatos y ropa cómodos, sombrilla, gafas, botellas de agua, protector solar, abanico y cámara fotográfica</w:t>
      </w:r>
    </w:p>
    <w:p w:rsidR="00000000" w:rsidDel="00000000" w:rsidP="00000000" w:rsidRDefault="00000000" w:rsidRPr="00000000" w14:paraId="00000039">
      <w:pPr>
        <w:jc w:val="both"/>
        <w:rPr>
          <w:rFonts w:ascii="Calibri" w:cs="Calibri" w:eastAsia="Calibri" w:hAnsi="Calibri"/>
          <w:sz w:val="20"/>
          <w:szCs w:val="20"/>
        </w:rPr>
      </w:pPr>
      <w:r w:rsidDel="00000000" w:rsidR="00000000" w:rsidRPr="00000000">
        <w:rPr>
          <w:rFonts w:ascii="Calibri" w:cs="Calibri" w:eastAsia="Calibri" w:hAnsi="Calibri"/>
          <w:b w:val="1"/>
          <w:bCs w:val="1"/>
          <w:color w:val="000000"/>
          <w:sz w:val="18"/>
          <w:szCs w:val="18"/>
          <w:rtl w:val="0"/>
        </w:rPr>
        <w:t xml:space="preserve">JEEP SAFARI</w:t>
      </w:r>
      <w:r w:rsidDel="00000000" w:rsidR="00000000" w:rsidRPr="00000000">
        <w:rPr>
          <w:rFonts w:ascii="Calibri" w:cs="Calibri" w:eastAsia="Calibri" w:hAnsi="Calibri"/>
          <w:color w:val="000000"/>
          <w:sz w:val="18"/>
          <w:szCs w:val="18"/>
          <w:rtl w:val="0"/>
        </w:rPr>
        <w:t xml:space="preserve"> </w:t>
      </w:r>
      <w:r w:rsidDel="00000000" w:rsidR="00000000" w:rsidRPr="00000000">
        <w:rPr>
          <w:rFonts w:ascii="Calibri" w:cs="Calibri" w:eastAsia="Calibri" w:hAnsi="Calibri"/>
          <w:sz w:val="20"/>
          <w:szCs w:val="20"/>
          <w:rtl w:val="0"/>
        </w:rPr>
        <w:t xml:space="preserve">Recogida en los Hoteles. Recorrido a través de terraplenes, caminos, canteras, y poblados campesinos con visita a Finca Agroecológica. Snorkeling en Playa Coral. Paseo en lancha por el Río Canimar y disfrute de un espectáculo aborigen. Almuerzo en Arboleda y tiempo libre para disfrutar de la naturaleza, monta de caballos y otras actividades. Recorrido en tránsito por la ciudad de Matanzas. Visita y tiempo de baño en la Cueva de Saturno. Regreso a un hotel en Varadero.</w:t>
      </w:r>
    </w:p>
    <w:p w:rsidR="00000000" w:rsidDel="00000000" w:rsidP="00000000" w:rsidRDefault="00000000" w:rsidRPr="00000000" w14:paraId="0000003A">
      <w:pPr>
        <w:shd w:fill="ffffff" w:val="clear"/>
        <w:spacing w:after="240" w:lineRule="auto"/>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Sugerimos llevar: zapatos y ropa cómodos, ropa de baño, gafas, botellas de agua, protector solar y cámara fotográfica.</w:t>
      </w:r>
    </w:p>
    <w:p w:rsidR="00000000" w:rsidDel="00000000" w:rsidP="00000000" w:rsidRDefault="00000000" w:rsidRPr="00000000" w14:paraId="0000003B">
      <w:pPr>
        <w:shd w:fill="ffffff" w:val="clear"/>
        <w:spacing w:after="120" w:line="288" w:lineRule="auto"/>
        <w:jc w:val="both"/>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VARADERO EXPERIENCE</w:t>
      </w:r>
    </w:p>
    <w:p w:rsidR="00000000" w:rsidDel="00000000" w:rsidP="00000000" w:rsidRDefault="00000000" w:rsidRPr="00000000" w14:paraId="0000003C">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Traslado en autos clásicos a través de la autopista hasta la calle 13 para el recorrido por el varadero histórico.</w:t>
      </w:r>
    </w:p>
    <w:p w:rsidR="00000000" w:rsidDel="00000000" w:rsidP="00000000" w:rsidRDefault="00000000" w:rsidRPr="00000000" w14:paraId="0000003D">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Parada en mercado artesanal para compras de souvenirs.</w:t>
      </w:r>
    </w:p>
    <w:p w:rsidR="00000000" w:rsidDel="00000000" w:rsidP="00000000" w:rsidRDefault="00000000" w:rsidRPr="00000000" w14:paraId="0000003E">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Visita al parador fotográfico.</w:t>
      </w:r>
    </w:p>
    <w:p w:rsidR="00000000" w:rsidDel="00000000" w:rsidP="00000000" w:rsidRDefault="00000000" w:rsidRPr="00000000" w14:paraId="0000003F">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parada en el Boulevard</w:t>
      </w:r>
    </w:p>
    <w:p w:rsidR="00000000" w:rsidDel="00000000" w:rsidP="00000000" w:rsidRDefault="00000000" w:rsidRPr="00000000" w14:paraId="00000040">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Visita a la casa del Ron</w:t>
      </w:r>
    </w:p>
    <w:p w:rsidR="00000000" w:rsidDel="00000000" w:rsidP="00000000" w:rsidRDefault="00000000" w:rsidRPr="00000000" w14:paraId="00000041">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Recorrido hasta Masion de Xanadu con Puesta de Sol y Coctel.</w:t>
      </w:r>
    </w:p>
    <w:p w:rsidR="00000000" w:rsidDel="00000000" w:rsidP="00000000" w:rsidRDefault="00000000" w:rsidRPr="00000000" w14:paraId="00000042">
      <w:pPr>
        <w:jc w:val="both"/>
        <w:rPr>
          <w:rFonts w:ascii="Calibri" w:cs="Calibri" w:eastAsia="Calibri" w:hAnsi="Calibri"/>
          <w:sz w:val="18"/>
          <w:szCs w:val="18"/>
        </w:rPr>
      </w:pPr>
      <w:r w:rsidDel="00000000" w:rsidR="00000000" w:rsidRPr="00000000">
        <w:rPr>
          <w:rtl w:val="0"/>
        </w:rPr>
      </w:r>
    </w:p>
    <w:p w:rsidR="00000000" w:rsidDel="00000000" w:rsidP="00000000" w:rsidRDefault="00000000" w:rsidRPr="00000000" w14:paraId="00000043">
      <w:pPr>
        <w:pStyle w:val="Heading1"/>
        <w:shd w:fill="ffffff" w:val="clear"/>
        <w:spacing w:after="120" w:line="288" w:lineRule="auto"/>
        <w:jc w:val="both"/>
        <w:rPr>
          <w:rFonts w:ascii="Calibri" w:cs="Calibri" w:eastAsia="Calibri" w:hAnsi="Calibri"/>
          <w:sz w:val="20"/>
          <w:szCs w:val="20"/>
        </w:rPr>
      </w:pPr>
      <w:bookmarkStart w:colFirst="0" w:colLast="0" w:name="_lplflxz2sjof" w:id="0"/>
      <w:bookmarkEnd w:id="0"/>
      <w:r w:rsidDel="00000000" w:rsidR="00000000" w:rsidRPr="00000000">
        <w:rPr>
          <w:rFonts w:ascii="Calibri" w:cs="Calibri" w:eastAsia="Calibri" w:hAnsi="Calibri"/>
          <w:sz w:val="20"/>
          <w:szCs w:val="20"/>
          <w:rtl w:val="0"/>
        </w:rPr>
        <w:t xml:space="preserve">HISTORIA Y SABOR EN AUTOS CLÁSICOS</w:t>
      </w:r>
    </w:p>
    <w:p w:rsidR="00000000" w:rsidDel="00000000" w:rsidP="00000000" w:rsidRDefault="00000000" w:rsidRPr="00000000" w14:paraId="00000044">
      <w:pPr>
        <w:shd w:fill="ffffff" w:val="clear"/>
        <w:spacing w:after="240" w:lineRule="auto"/>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Recogida en ómnibus climatizados en horarios escalonados. Visita a la Fábrica de Ron en Cárdenas que incluye: destilería, nave de añejamiento, y nave de embotellado. Souvenir de Minidosis de Ron. Recorrido panorámico por la ciudad y por Varadero histórico, hasta la calle 64 con visita al Boulevard y casas especializadas. Visita a la Casa del Ron Calle 63 que incluye: recorrido guiado, explicación del proceso de obtención y almacenaje del Ron mediante maqueta de la destilería, clases de coctelería cubana que incluye tres cócteles cubanos, Happy Hours de una hora (degustación de rones cubanos) y souvenir de botella de Ron Habana Club 3 años.</w:t>
      </w:r>
    </w:p>
    <w:p w:rsidR="00000000" w:rsidDel="00000000" w:rsidP="00000000" w:rsidRDefault="00000000" w:rsidRPr="00000000" w14:paraId="00000045">
      <w:pPr>
        <w:shd w:fill="ffffff" w:val="clear"/>
        <w:spacing w:after="240" w:lineRule="auto"/>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Continuación hacia la casa del Habano: recorrido guiado, explicación del staff sobre el proceso de obtención del tabaco cubano y su maridaje con diferentes rones cubanos, demostración del torcido manual del tabaco con posibilidad de interactuar con el tabaquero, explicación del corte y encendido de un tabaco, maridaje, tiempo libre para compras de artesanía, tabaco, ron, café.</w:t>
      </w:r>
    </w:p>
    <w:p w:rsidR="00000000" w:rsidDel="00000000" w:rsidP="00000000" w:rsidRDefault="00000000" w:rsidRPr="00000000" w14:paraId="00000046">
      <w:pPr>
        <w:shd w:fill="ffffff" w:val="clear"/>
        <w:spacing w:after="240" w:lineRule="auto"/>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Visita a la casa del Café: recorrido guiado, explicación sobre el proceso de obtención del café cubano, degustación, souvenir de paquete de café 125 g.</w:t>
      </w:r>
    </w:p>
    <w:p w:rsidR="00000000" w:rsidDel="00000000" w:rsidP="00000000" w:rsidRDefault="00000000" w:rsidRPr="00000000" w14:paraId="00000047">
      <w:pPr>
        <w:shd w:fill="ffffff" w:val="clear"/>
        <w:spacing w:after="240" w:lineRule="auto"/>
        <w:jc w:val="both"/>
        <w:rPr>
          <w:rFonts w:ascii="Calibri" w:cs="Calibri" w:eastAsia="Calibri" w:hAnsi="Calibri"/>
          <w:color w:val="4e4e4e"/>
        </w:rPr>
      </w:pPr>
      <w:r w:rsidDel="00000000" w:rsidR="00000000" w:rsidRPr="00000000">
        <w:rPr>
          <w:rFonts w:ascii="Calibri" w:cs="Calibri" w:eastAsia="Calibri" w:hAnsi="Calibri"/>
          <w:sz w:val="20"/>
          <w:szCs w:val="20"/>
          <w:rtl w:val="0"/>
        </w:rPr>
        <w:t xml:space="preserve">Visita panorámica a la Mansión Xanadú. Retorno a los Hoteles</w:t>
      </w:r>
      <w:r w:rsidDel="00000000" w:rsidR="00000000" w:rsidRPr="00000000">
        <w:rPr>
          <w:rtl w:val="0"/>
        </w:rPr>
      </w:r>
    </w:p>
    <w:p w:rsidR="00000000" w:rsidDel="00000000" w:rsidP="00000000" w:rsidRDefault="00000000" w:rsidRPr="00000000" w14:paraId="00000048">
      <w:pPr>
        <w:shd w:fill="ffffff" w:val="clear"/>
        <w:spacing w:after="240" w:lineRule="auto"/>
        <w:jc w:val="both"/>
        <w:rPr>
          <w:rFonts w:ascii="Calibri" w:cs="Calibri" w:eastAsia="Calibri" w:hAnsi="Calibri"/>
          <w:color w:val="4e4e4e"/>
        </w:rPr>
      </w:pPr>
      <w:r w:rsidDel="00000000" w:rsidR="00000000" w:rsidRPr="00000000">
        <w:rPr>
          <w:rtl w:val="0"/>
        </w:rPr>
      </w:r>
    </w:p>
    <w:p w:rsidR="00000000" w:rsidDel="00000000" w:rsidP="00000000" w:rsidRDefault="00000000" w:rsidRPr="00000000" w14:paraId="00000049">
      <w:pPr>
        <w:pStyle w:val="Heading1"/>
        <w:shd w:fill="ffffff" w:val="clear"/>
        <w:spacing w:after="120" w:line="288" w:lineRule="auto"/>
        <w:jc w:val="both"/>
        <w:rPr>
          <w:rFonts w:ascii="Calibri" w:cs="Calibri" w:eastAsia="Calibri" w:hAnsi="Calibri"/>
          <w:sz w:val="20"/>
          <w:szCs w:val="20"/>
        </w:rPr>
      </w:pPr>
      <w:bookmarkStart w:colFirst="0" w:colLast="0" w:name="_4tzhky5ucpcp" w:id="1"/>
      <w:bookmarkEnd w:id="1"/>
      <w:r w:rsidDel="00000000" w:rsidR="00000000" w:rsidRPr="00000000">
        <w:rPr>
          <w:rFonts w:ascii="Calibri" w:cs="Calibri" w:eastAsia="Calibri" w:hAnsi="Calibri"/>
          <w:sz w:val="20"/>
          <w:szCs w:val="20"/>
          <w:rtl w:val="0"/>
        </w:rPr>
        <w:t xml:space="preserve">SEAFARY A CAYO BLANCO (MARINA MARLIN)</w:t>
      </w:r>
      <w:r w:rsidDel="00000000" w:rsidR="00000000" w:rsidRPr="00000000">
        <w:rPr>
          <w:rtl w:val="0"/>
        </w:rPr>
      </w:r>
    </w:p>
    <w:p w:rsidR="00000000" w:rsidDel="00000000" w:rsidP="00000000" w:rsidRDefault="00000000" w:rsidRPr="00000000" w14:paraId="0000004A">
      <w:pPr>
        <w:shd w:fill="ffffff" w:val="clear"/>
        <w:spacing w:after="240" w:lineRule="auto"/>
        <w:jc w:val="both"/>
        <w:rPr>
          <w:rFonts w:ascii="Calibri" w:cs="Calibri" w:eastAsia="Calibri" w:hAnsi="Calibri"/>
          <w:color w:val="4e4e4e"/>
        </w:rPr>
      </w:pPr>
      <w:r w:rsidDel="00000000" w:rsidR="00000000" w:rsidRPr="00000000">
        <w:rPr>
          <w:rFonts w:ascii="Calibri" w:cs="Calibri" w:eastAsia="Calibri" w:hAnsi="Calibri"/>
          <w:sz w:val="20"/>
          <w:szCs w:val="20"/>
          <w:rtl w:val="0"/>
        </w:rPr>
        <w:t xml:space="preserve">Transfer de recogida y regreso de hoteles en Varadero. Snorkeling en fondo de peces, con equipos disponibles a bordo. Visita a Cayo Blanco de amplia playa, oferta en tienda de souvenir. Almuerzo en ranchón y a la orilla de la playa con capacidad para grandes grupos con un menú a base de langosta, camarones, pollo y pescado, arroz, vegetales, frutas, papa, pan y café cubano. Bar abierto con refrescos, ron y cervezas nacionales. Música en vivo tradicional cubana amenizando su estancia en la isla.  Animación de entretenimiento. Navegación a vela.</w:t>
      </w:r>
      <w:r w:rsidDel="00000000" w:rsidR="00000000" w:rsidRPr="00000000">
        <w:rPr>
          <w:rFonts w:ascii="Calibri" w:cs="Calibri" w:eastAsia="Calibri" w:hAnsi="Calibri"/>
          <w:sz w:val="20"/>
          <w:szCs w:val="20"/>
          <w:rtl w:val="0"/>
        </w:rPr>
        <w:t xml:space="preserve"> </w:t>
      </w:r>
      <w:r w:rsidDel="00000000" w:rsidR="00000000" w:rsidRPr="00000000">
        <w:rPr>
          <w:rtl w:val="0"/>
        </w:rPr>
      </w:r>
    </w:p>
    <w:p w:rsidR="00000000" w:rsidDel="00000000" w:rsidP="00000000" w:rsidRDefault="00000000" w:rsidRPr="00000000" w14:paraId="0000004B">
      <w:pPr>
        <w:jc w:val="both"/>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4C">
      <w:pPr>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Condiciones</w:t>
      </w:r>
    </w:p>
    <w:p w:rsidR="00000000" w:rsidDel="00000000" w:rsidP="00000000" w:rsidRDefault="00000000" w:rsidRPr="00000000" w14:paraId="0000004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Tour Opcionales son 10% Comisionable</w:t>
      </w:r>
    </w:p>
    <w:p w:rsidR="00000000" w:rsidDel="00000000" w:rsidP="00000000" w:rsidRDefault="00000000" w:rsidRPr="00000000" w14:paraId="0000004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Debido a los múltiples cambios que ocurren diariamente en turismo, estos precios deben de ser confirmados al momento de solicitar la reserva.</w:t>
      </w:r>
    </w:p>
    <w:p w:rsidR="00000000" w:rsidDel="00000000" w:rsidP="00000000" w:rsidRDefault="00000000" w:rsidRPr="00000000" w14:paraId="0000004F">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Por favor, lea las condiciones que se presentan a continuación, con detenimiento, antes de continuar. Al expresar su conformidad con dichos términos, ello significa que usted leyó y comprendió todos los términos y condiciones relativos a las políticas formuladas. Una vez leídos y aceptados estos términos y confirmada la reserva del servicio seleccionado, deberá proceder al pago de los mismos; para lo que el Comercial de la Oficina correspondiente que atiende su agencia, se pondrá en contacto para tema de facturación y cobro. En caso de no efectuarse el pago en el plazo acordado se procederá a la cancelación de los servicios. El prepago de los servicios debe ser efectivo con un mínimo de 15 días previos a la llegada del cliente al destino seleccionado. La Agencia actúa como agente general de ventas de excursiones turísticas, a través de agencias locales, quienes serán los encargados de coordinar y garantizar cada uno de los servicios incluidos, en cada una de las actividades, así como prestar servicio de guía en el idioma solicitado, en las actividades que así lo requieran. Nosotros recomendamos que usted contacte a su arribo a nuestra oficina, con el objetivo de coordinar los detalles de horarios y lugar de recogida de la actividad por usted elegida. Condiciones Generales • La recogida de los clientes se desarrolla según horario programado, y los clientes deben esperar en el lobby del hotel. • En los ómnibus y aeronaves, que se utilizan para las actividades opcionales, se prohíbe fumar. • Para las actividades aéreas, náuticas y/o las que incluyan alojamiento, debe presentarse el pasaporte de cada uno de los participantes. • En las excursiones aéreas, el tipo de equipo a utilizar es según disponibilidad de las aerolíneas. • Todas las excursiones, tanto aéreas, terrestres, como acuáticas, no garantizan conexiones con salidas internacionales. • El programa que incluye conducción de vehículos (jeep safari), requiere que el cliente porte su permiso de conducir. • Los clientes interesados en los programas de buceo, deben poseer certificación de conocimiento o estar dispuestos a recibir el curso de iniciación. • En los recorridos programados, los turistas están obligados a no desvincularse del grupo y del guía que los conduce. Aquellos que por interés personal decidan hacerlo, lo harán bajo su responsabilidad individual. • El cliente es responsable de sus medios y valores, durante los recorridos. • Los cupones de ventas son intransferibles. Documentos de viaje. Pagos. Todas las actividades requieren preparación, que será cobrada al momento de reservar. Los pagos se harán por adelantado. Por transferencia o por tarjeta de crédito la que será debitada, dentro de un plazo de 24 horas, después de acordado con el Comercial que le brinda asistencia. Los vouchers de Excursiones deben ser portados por el cliente. Descuentos Para menores de 2 años de edad, el servicio es free en todas las actividades. Cancelación y Reembolso Una vez efectuado el pago por su reservación, se aplicará la siguiente política de cancelación: En caso de cancelación de su reservación, 72 horas antes de la fecha de llegada acordada, el cliente recibirá la totalidad del monto que pagó por la misma. En caso de cancelación, con menos de 72 horas o no uso - no show, no se realizan devoluciones de su reservación. Cambio de fechas • Excursiones Aéreas: Se cobrará adicionalmente el 50% del valor total de la actividad, y deberá adquirir un nuevo comprobante para la fecha (hora) deseada. • Excursiones terrestres y náuticas: Se cobrará adicionalmente el 25% del valor total de la actividad, y deberá adquirir un nuevo comprobante para la fecha (hora) deseada. Las reclamaciones se efectuarán a través del Comercial que atiende la cuenta o del Representante de La Agencia. Las quejas que fundamenten una devolución o indemnización, deben realizarse por escrito antes de las 72 horas después de ocurrido el hecho, y antes de abandonar el cliente el país. En el caso de robos, extravíos de propiedades y otros daños personales similares, se requiere la denuncia a las autoridades policiales por parte del cliente. La Agencia y los proveedores, no se hacen responsables por equipajes y efectos personales olvidados en las unidades de transporte y/o Hoteles.</w:t>
      </w:r>
    </w:p>
    <w:sectPr>
      <w:headerReference r:id="rId6" w:type="default"/>
      <w:footerReference r:id="rId7" w:type="default"/>
      <w:pgSz w:h="16838" w:w="11906" w:orient="portrait"/>
      <w:pgMar w:bottom="1135" w:top="284" w:left="1701" w:right="1701"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Georgia"/>
  <w:font w:name="Arial"/>
  <w:font w:name="Calibri"/>
  <w:font w:name="Times New Roman"/>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center"/>
      <w:rPr>
        <w:rFonts w:ascii="Calibri" w:cs="Calibri" w:eastAsia="Calibri" w:hAnsi="Calibri"/>
        <w:b w:val="1"/>
        <w:bCs w:val="1"/>
        <w:i w:val="0"/>
        <w:iCs w:val="0"/>
        <w:smallCaps w:val="0"/>
        <w:strike w:val="0"/>
        <w:color w:val="000000"/>
        <w:sz w:val="14"/>
        <w:szCs w:val="1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14"/>
        <w:szCs w:val="14"/>
        <w:u w:val="none"/>
        <w:shd w:fill="auto" w:val="clear"/>
        <w:vertAlign w:val="baseline"/>
        <w:rtl w:val="0"/>
      </w:rPr>
      <w:t xml:space="preserve">Mayor Información: Lima: (01) 755-0071</w:t>
    </w:r>
  </w:p>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center"/>
      <w:rPr>
        <w:rFonts w:ascii="Calibri" w:cs="Calibri" w:eastAsia="Calibri" w:hAnsi="Calibri"/>
        <w:b w:val="1"/>
        <w:bCs w:val="1"/>
        <w:i w:val="0"/>
        <w:iCs w:val="0"/>
        <w:smallCaps w:val="0"/>
        <w:strike w:val="0"/>
        <w:color w:val="000000"/>
        <w:sz w:val="14"/>
        <w:szCs w:val="1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14"/>
        <w:szCs w:val="14"/>
        <w:u w:val="none"/>
        <w:shd w:fill="auto" w:val="clear"/>
        <w:vertAlign w:val="baseline"/>
        <w:rtl w:val="0"/>
      </w:rPr>
      <w:t xml:space="preserve">Emergencia 24 horas: +51 977 912 165 - atencionalcliente@vidatur.net / Web: www.vidatur.net</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0" distT="0" distL="0" distR="0">
          <wp:extent cx="1488326" cy="535820"/>
          <wp:effectExtent b="0" l="0" r="0" t="0"/>
          <wp:docPr id="1" name="image1.jpg"/>
          <a:graphic>
            <a:graphicData uri="http://schemas.openxmlformats.org/drawingml/2006/picture">
              <pic:pic>
                <pic:nvPicPr>
                  <pic:cNvPr id="0" name="image1.jpg"/>
                  <pic:cNvPicPr preferRelativeResize="0"/>
                </pic:nvPicPr>
                <pic:blipFill>
                  <a:blip r:embed="rId1"/>
                  <a:srcRect b="-11458" l="0" r="0" t="0"/>
                  <a:stretch>
                    <a:fillRect/>
                  </a:stretch>
                </pic:blipFill>
                <pic:spPr>
                  <a:xfrm>
                    <a:off x="0" y="0"/>
                    <a:ext cx="1488326" cy="53582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s-ES_tradnl"/>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rPr>
      <w:b w:val="1"/>
      <w:bCs w:val="1"/>
      <w:sz w:val="48"/>
      <w:szCs w:val="48"/>
    </w:rPr>
  </w:style>
  <w:style w:type="paragraph" w:styleId="Heading2">
    <w:name w:val="heading 2"/>
    <w:basedOn w:val="Normal"/>
    <w:next w:val="Normal"/>
    <w:pPr>
      <w:keepNext w:val="1"/>
      <w:keepLines w:val="1"/>
      <w:spacing w:before="40" w:lineRule="auto"/>
    </w:pPr>
    <w:rPr>
      <w:rFonts w:ascii="Cambria" w:cs="Cambria" w:eastAsia="Cambria" w:hAnsi="Cambria"/>
      <w:color w:val="366091"/>
      <w:sz w:val="26"/>
      <w:szCs w:val="2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70.0" w:type="dxa"/>
        <w:bottom w:w="0.0" w:type="dxa"/>
        <w:right w:w="7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